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b/>
          <w:sz w:val="24"/>
        </w:rPr>
        <w:t>УТВЕРЖДАЮ</w:t>
      </w:r>
    </w:p>
    <w:p>
      <w:pPr>
        <w:jc w:val="right"/>
      </w:pPr>
      <w:r>
        <w:rPr>
          <w:rFonts w:ascii="Times New Roman" w:hAnsi="Times New Roman"/>
          <w:b w:val="0"/>
          <w:sz w:val="24"/>
        </w:rPr>
        <w:t>Директор ООО «ЯРДАН МЕД»</w:t>
      </w:r>
    </w:p>
    <w:p>
      <w:pPr>
        <w:jc w:val="right"/>
      </w:pPr>
      <w:r>
        <w:rPr>
          <w:rFonts w:ascii="Times New Roman" w:hAnsi="Times New Roman"/>
          <w:b w:val="0"/>
          <w:sz w:val="24"/>
        </w:rPr>
      </w:r>
    </w:p>
    <w:p>
      <w:pPr>
        <w:jc w:val="right"/>
      </w:pPr>
      <w:r>
        <w:rPr>
          <w:rFonts w:ascii="Times New Roman" w:hAnsi="Times New Roman"/>
          <w:b w:val="0"/>
          <w:sz w:val="24"/>
        </w:rPr>
        <w:t>_________________/______________/</w:t>
      </w:r>
    </w:p>
    <w:p>
      <w:pPr>
        <w:jc w:val="right"/>
      </w:pPr>
      <w:r>
        <w:rPr>
          <w:rFonts w:ascii="Times New Roman" w:hAnsi="Times New Roman"/>
          <w:b w:val="0"/>
          <w:sz w:val="24"/>
        </w:rPr>
        <w:t>«18» июня 2026 г.</w:t>
      </w:r>
    </w:p>
    <w:p>
      <w:pPr>
        <w:jc w:val="right"/>
      </w:pPr>
      <w:r>
        <w:rPr>
          <w:rFonts w:ascii="Times New Roman" w:hAnsi="Times New Roman"/>
          <w:b w:val="0"/>
          <w:sz w:val="24"/>
        </w:rPr>
        <w:t>М.П.</w:t>
      </w:r>
    </w:p>
    <w:p>
      <w:pPr>
        <w:jc w:val="right"/>
      </w:pPr>
      <w:r>
        <w:rPr>
          <w:rFonts w:ascii="Times New Roman" w:hAnsi="Times New Roman"/>
          <w:b w:val="0"/>
          <w:sz w:val="24"/>
        </w:rPr>
      </w:r>
    </w:p>
    <w:p>
      <w:pPr>
        <w:widowControl/>
        <w:spacing w:before="1600"/>
        <w:jc w:val="center"/>
      </w:pPr>
      <w:r>
        <w:rPr>
          <w:rFonts w:ascii="Times New Roman" w:hAnsi="Times New Roman"/>
          <w:b/>
          <w:sz w:val="32"/>
        </w:rPr>
        <w:t>ПОЛИТИКА</w:t>
        <w:br/>
        <w:t>В ОТНОШЕНИИ ОБРАБОТКИ</w:t>
        <w:br/>
        <w:t>ПЕРСОНАЛЬНЫХ ДАННЫХ</w:t>
      </w:r>
    </w:p>
    <w:p>
      <w:pPr>
        <w:widowControl/>
        <w:spacing w:before="480"/>
        <w:jc w:val="center"/>
      </w:pPr>
      <w:r>
        <w:rPr>
          <w:rFonts w:ascii="Times New Roman" w:hAnsi="Times New Roman"/>
          <w:b/>
          <w:sz w:val="24"/>
        </w:rPr>
        <w:t>ООО «ЯРДАН МЕД»</w:t>
        <w:br/>
        <w:t>клиника «АкЯр Мед»</w:t>
      </w:r>
    </w:p>
    <w:p>
      <w:pPr>
        <w:widowControl/>
        <w:spacing w:before="600"/>
        <w:jc w:val="center"/>
      </w:pPr>
      <w:r>
        <w:rPr>
          <w:rFonts w:ascii="Times New Roman" w:hAnsi="Times New Roman"/>
          <w:sz w:val="24"/>
        </w:rPr>
        <w:t>Редакция от 18 июня 2026 года</w:t>
        <w:br/>
        <w:t>Для размещения на сайте akyarmed.ru</w:t>
      </w:r>
    </w:p>
    <w:p>
      <w:pPr>
        <w:widowControl/>
        <w:spacing w:before="1400"/>
        <w:jc w:val="center"/>
      </w:pPr>
      <w:r>
        <w:rPr>
          <w:rFonts w:ascii="Times New Roman" w:hAnsi="Times New Roman"/>
          <w:sz w:val="24"/>
        </w:rPr>
        <w:t>Казань, 2026</w:t>
      </w:r>
    </w:p>
    <w:p>
      <w:pPr>
        <w:widowControl/>
        <w:jc w:val="center"/>
      </w:pPr>
      <w:r>
        <w:rPr>
          <w:rFonts w:ascii="Times New Roman" w:hAnsi="Times New Roman"/>
          <w:sz w:val="24"/>
        </w:rPr>
        <w:br w:type="page"/>
      </w:r>
    </w:p>
    <w:p>
      <w:pPr>
        <w:widowControl/>
        <w:spacing w:after="60" w:line="252" w:lineRule="auto"/>
        <w:jc w:val="center"/>
      </w:pPr>
      <w:r>
        <w:rPr>
          <w:rFonts w:ascii="Times New Roman" w:hAnsi="Times New Roman"/>
          <w:b/>
          <w:sz w:val="24"/>
        </w:rPr>
        <w:t>СВЕДЕНИЯ ОБ ОПЕРАТОРЕ</w:t>
      </w:r>
    </w:p>
    <w:tbl>
      <w:tblPr>
        <w:tblStyle w:val="TableGrid"/>
        <w:tblW w:type="auto" w:w="0"/>
        <w:jc w:val="center"/>
        <w:tblLook w:firstColumn="1" w:firstRow="1" w:lastColumn="0" w:lastRow="0" w:noHBand="0" w:noVBand="1" w:val="04A0"/>
      </w:tblPr>
      <w:tblGrid>
        <w:gridCol w:w="5014"/>
        <w:gridCol w:w="5014"/>
      </w:tblGrid>
      <w:tr>
        <w:trPr>
          <w:tblHeader w:val="true"/>
        </w:trPr>
        <w:tc>
          <w:tcPr>
            <w:tcW w:type="dxa" w:w="2835"/>
            <w:shd w:fill="D9EAF7"/>
            <w:vAlign w:val="center"/>
          </w:tcPr>
          <w:p>
            <w:r>
              <w:rPr>
                <w:b/>
                <w:sz w:val="18"/>
              </w:rPr>
              <w:t>Параметр</w:t>
            </w:r>
          </w:p>
        </w:tc>
        <w:tc>
          <w:tcPr>
            <w:tcW w:type="dxa" w:w="6803"/>
            <w:shd w:fill="D9EAF7"/>
            <w:vAlign w:val="center"/>
          </w:tcPr>
          <w:p>
            <w:r>
              <w:rPr>
                <w:b/>
                <w:sz w:val="18"/>
              </w:rPr>
              <w:t>Сведения</w:t>
            </w:r>
          </w:p>
        </w:tc>
      </w:tr>
      <w:tr>
        <w:tc>
          <w:tcPr>
            <w:tcW w:type="dxa" w:w="2835"/>
            <w:vAlign w:val="top"/>
          </w:tcPr>
          <w:p>
            <w:pPr>
              <w:spacing w:after="0" w:line="240" w:lineRule="auto"/>
            </w:pPr>
            <w:r>
              <w:rPr>
                <w:rFonts w:ascii="Times New Roman" w:hAnsi="Times New Roman"/>
                <w:sz w:val="18"/>
              </w:rPr>
              <w:t>Полное наименование</w:t>
            </w:r>
          </w:p>
        </w:tc>
        <w:tc>
          <w:tcPr>
            <w:tcW w:type="dxa" w:w="6803"/>
            <w:vAlign w:val="top"/>
          </w:tcPr>
          <w:p>
            <w:pPr>
              <w:spacing w:after="0" w:line="240" w:lineRule="auto"/>
            </w:pPr>
            <w:r>
              <w:rPr>
                <w:rFonts w:ascii="Times New Roman" w:hAnsi="Times New Roman"/>
                <w:sz w:val="18"/>
              </w:rPr>
              <w:t>Общество с ограниченной ответственностью «ЯРДАН МЕД»</w:t>
            </w:r>
          </w:p>
        </w:tc>
      </w:tr>
      <w:tr>
        <w:tc>
          <w:tcPr>
            <w:tcW w:type="dxa" w:w="2835"/>
            <w:vAlign w:val="top"/>
          </w:tcPr>
          <w:p>
            <w:pPr>
              <w:spacing w:after="0" w:line="240" w:lineRule="auto"/>
            </w:pPr>
            <w:r>
              <w:rPr>
                <w:rFonts w:ascii="Times New Roman" w:hAnsi="Times New Roman"/>
                <w:sz w:val="18"/>
              </w:rPr>
              <w:t>Коммерческое обозначение</w:t>
            </w:r>
          </w:p>
        </w:tc>
        <w:tc>
          <w:tcPr>
            <w:tcW w:type="dxa" w:w="6803"/>
            <w:vAlign w:val="top"/>
          </w:tcPr>
          <w:p>
            <w:pPr>
              <w:spacing w:after="0" w:line="240" w:lineRule="auto"/>
            </w:pPr>
            <w:r>
              <w:rPr>
                <w:rFonts w:ascii="Times New Roman" w:hAnsi="Times New Roman"/>
                <w:sz w:val="18"/>
              </w:rPr>
              <w:t>Клиника «АкЯр Мед»</w:t>
            </w:r>
          </w:p>
        </w:tc>
      </w:tr>
      <w:tr>
        <w:tc>
          <w:tcPr>
            <w:tcW w:type="dxa" w:w="2835"/>
            <w:vAlign w:val="top"/>
          </w:tcPr>
          <w:p>
            <w:pPr>
              <w:spacing w:after="0" w:line="240" w:lineRule="auto"/>
            </w:pPr>
            <w:r>
              <w:rPr>
                <w:rFonts w:ascii="Times New Roman" w:hAnsi="Times New Roman"/>
                <w:sz w:val="18"/>
              </w:rPr>
              <w:t>ИНН / КПП</w:t>
            </w:r>
          </w:p>
        </w:tc>
        <w:tc>
          <w:tcPr>
            <w:tcW w:type="dxa" w:w="6803"/>
            <w:vAlign w:val="top"/>
          </w:tcPr>
          <w:p>
            <w:pPr>
              <w:spacing w:after="0" w:line="240" w:lineRule="auto"/>
            </w:pPr>
            <w:r>
              <w:rPr>
                <w:rFonts w:ascii="Times New Roman" w:hAnsi="Times New Roman"/>
                <w:sz w:val="18"/>
              </w:rPr>
              <w:t>1686056863 / 168601001</w:t>
            </w:r>
          </w:p>
        </w:tc>
      </w:tr>
      <w:tr>
        <w:tc>
          <w:tcPr>
            <w:tcW w:type="dxa" w:w="2835"/>
            <w:vAlign w:val="top"/>
          </w:tcPr>
          <w:p>
            <w:pPr>
              <w:spacing w:after="0" w:line="240" w:lineRule="auto"/>
            </w:pPr>
            <w:r>
              <w:rPr>
                <w:rFonts w:ascii="Times New Roman" w:hAnsi="Times New Roman"/>
                <w:sz w:val="18"/>
              </w:rPr>
              <w:t>ОГРН</w:t>
            </w:r>
          </w:p>
        </w:tc>
        <w:tc>
          <w:tcPr>
            <w:tcW w:type="dxa" w:w="6803"/>
            <w:vAlign w:val="top"/>
          </w:tcPr>
          <w:p>
            <w:pPr>
              <w:spacing w:after="0" w:line="240" w:lineRule="auto"/>
            </w:pPr>
            <w:r>
              <w:rPr>
                <w:rFonts w:ascii="Times New Roman" w:hAnsi="Times New Roman"/>
                <w:sz w:val="18"/>
              </w:rPr>
              <w:t>1261600009571</w:t>
            </w:r>
          </w:p>
        </w:tc>
      </w:tr>
      <w:tr>
        <w:tc>
          <w:tcPr>
            <w:tcW w:type="dxa" w:w="2835"/>
            <w:vAlign w:val="top"/>
          </w:tcPr>
          <w:p>
            <w:pPr>
              <w:spacing w:after="0" w:line="240" w:lineRule="auto"/>
            </w:pPr>
            <w:r>
              <w:rPr>
                <w:rFonts w:ascii="Times New Roman" w:hAnsi="Times New Roman"/>
                <w:sz w:val="18"/>
              </w:rPr>
              <w:t>Адрес</w:t>
            </w:r>
          </w:p>
        </w:tc>
        <w:tc>
          <w:tcPr>
            <w:tcW w:type="dxa" w:w="6803"/>
            <w:vAlign w:val="top"/>
          </w:tcPr>
          <w:p>
            <w:pPr>
              <w:spacing w:after="0" w:line="240" w:lineRule="auto"/>
            </w:pPr>
            <w:r>
              <w:rPr>
                <w:rFonts w:ascii="Times New Roman" w:hAnsi="Times New Roman"/>
                <w:sz w:val="18"/>
              </w:rPr>
              <w:t>420104, Республика Татарстан, г. Казань, проезд Яраткан, д. 5, помещ. 1003</w:t>
            </w:r>
          </w:p>
        </w:tc>
      </w:tr>
      <w:tr>
        <w:tc>
          <w:tcPr>
            <w:tcW w:type="dxa" w:w="2835"/>
            <w:vAlign w:val="top"/>
          </w:tcPr>
          <w:p>
            <w:pPr>
              <w:spacing w:after="0" w:line="240" w:lineRule="auto"/>
            </w:pPr>
            <w:r>
              <w:rPr>
                <w:rFonts w:ascii="Times New Roman" w:hAnsi="Times New Roman"/>
                <w:sz w:val="18"/>
              </w:rPr>
              <w:t>Сайт</w:t>
            </w:r>
          </w:p>
        </w:tc>
        <w:tc>
          <w:tcPr>
            <w:tcW w:type="dxa" w:w="6803"/>
            <w:vAlign w:val="top"/>
          </w:tcPr>
          <w:p>
            <w:pPr>
              <w:spacing w:after="0" w:line="240" w:lineRule="auto"/>
            </w:pPr>
            <w:r>
              <w:rPr>
                <w:rFonts w:ascii="Times New Roman" w:hAnsi="Times New Roman"/>
                <w:sz w:val="18"/>
              </w:rPr>
              <w:t>akyarmed.ru</w:t>
            </w:r>
          </w:p>
        </w:tc>
      </w:tr>
      <w:tr>
        <w:tc>
          <w:tcPr>
            <w:tcW w:type="dxa" w:w="2835"/>
            <w:vAlign w:val="top"/>
          </w:tcPr>
          <w:p>
            <w:pPr>
              <w:spacing w:after="0" w:line="240" w:lineRule="auto"/>
            </w:pPr>
            <w:r>
              <w:rPr>
                <w:rFonts w:ascii="Times New Roman" w:hAnsi="Times New Roman"/>
                <w:sz w:val="18"/>
              </w:rPr>
              <w:t>Электронная почта</w:t>
            </w:r>
          </w:p>
        </w:tc>
        <w:tc>
          <w:tcPr>
            <w:tcW w:type="dxa" w:w="6803"/>
            <w:vAlign w:val="top"/>
          </w:tcPr>
          <w:p>
            <w:pPr>
              <w:spacing w:after="0" w:line="240" w:lineRule="auto"/>
            </w:pPr>
            <w:r>
              <w:rPr>
                <w:rFonts w:ascii="Times New Roman" w:hAnsi="Times New Roman"/>
                <w:sz w:val="18"/>
              </w:rPr>
              <w:t>akyar.med@mail.ru</w:t>
            </w:r>
          </w:p>
        </w:tc>
      </w:tr>
      <w:tr>
        <w:tc>
          <w:tcPr>
            <w:tcW w:type="dxa" w:w="2835"/>
            <w:vAlign w:val="top"/>
          </w:tcPr>
          <w:p>
            <w:pPr>
              <w:spacing w:after="0" w:line="240" w:lineRule="auto"/>
            </w:pPr>
            <w:r>
              <w:rPr>
                <w:rFonts w:ascii="Times New Roman" w:hAnsi="Times New Roman"/>
                <w:sz w:val="18"/>
              </w:rPr>
              <w:t>Телефон</w:t>
            </w:r>
          </w:p>
        </w:tc>
        <w:tc>
          <w:tcPr>
            <w:tcW w:type="dxa" w:w="6803"/>
            <w:vAlign w:val="top"/>
          </w:tcPr>
          <w:p>
            <w:pPr>
              <w:spacing w:after="0" w:line="240" w:lineRule="auto"/>
            </w:pPr>
            <w:r>
              <w:rPr>
                <w:rFonts w:ascii="Times New Roman" w:hAnsi="Times New Roman"/>
                <w:sz w:val="18"/>
              </w:rPr>
              <w:t>+7 (987) 003-00-70</w:t>
            </w:r>
          </w:p>
        </w:tc>
      </w:tr>
      <w:tr>
        <w:tc>
          <w:tcPr>
            <w:tcW w:type="dxa" w:w="2835"/>
            <w:vAlign w:val="top"/>
          </w:tcPr>
          <w:p>
            <w:pPr>
              <w:spacing w:after="0" w:line="240" w:lineRule="auto"/>
            </w:pPr>
            <w:r>
              <w:rPr>
                <w:rFonts w:ascii="Times New Roman" w:hAnsi="Times New Roman"/>
                <w:sz w:val="18"/>
              </w:rPr>
              <w:t>Лицензия на медицинскую деятельность</w:t>
            </w:r>
          </w:p>
        </w:tc>
        <w:tc>
          <w:tcPr>
            <w:tcW w:type="dxa" w:w="6803"/>
            <w:vAlign w:val="top"/>
          </w:tcPr>
          <w:p>
            <w:pPr>
              <w:spacing w:after="0" w:line="240" w:lineRule="auto"/>
            </w:pPr>
            <w:r>
              <w:rPr>
                <w:rFonts w:ascii="Times New Roman" w:hAnsi="Times New Roman"/>
                <w:sz w:val="18"/>
              </w:rPr>
              <w:t>Л041-01181-16/05293998 от 11.06.2026</w:t>
            </w:r>
          </w:p>
        </w:tc>
      </w:tr>
      <w:tr>
        <w:tc>
          <w:tcPr>
            <w:tcW w:type="dxa" w:w="2835"/>
            <w:vAlign w:val="top"/>
          </w:tcPr>
          <w:p>
            <w:pPr>
              <w:spacing w:after="0" w:line="240" w:lineRule="auto"/>
            </w:pPr>
            <w:r>
              <w:rPr>
                <w:rFonts w:ascii="Times New Roman" w:hAnsi="Times New Roman"/>
                <w:sz w:val="18"/>
              </w:rPr>
              <w:t>Режим работы</w:t>
            </w:r>
          </w:p>
        </w:tc>
        <w:tc>
          <w:tcPr>
            <w:tcW w:type="dxa" w:w="6803"/>
            <w:vAlign w:val="top"/>
          </w:tcPr>
          <w:p>
            <w:pPr>
              <w:spacing w:after="0" w:line="240" w:lineRule="auto"/>
            </w:pPr>
            <w:r>
              <w:rPr>
                <w:rFonts w:ascii="Times New Roman" w:hAnsi="Times New Roman"/>
                <w:sz w:val="18"/>
              </w:rPr>
              <w:t>Понедельник - суббота, 07:03-19:00</w:t>
            </w:r>
          </w:p>
        </w:tc>
      </w:tr>
    </w:tbl>
    <w:p>
      <w:pPr>
        <w:widowControl/>
        <w:spacing w:after="20"/>
        <w:jc w:val="center"/>
      </w:pPr>
    </w:p>
    <w:p>
      <w:pPr>
        <w:widowControl/>
        <w:spacing w:after="60" w:line="252" w:lineRule="auto"/>
        <w:jc w:val="center"/>
      </w:pPr>
      <w:r>
        <w:rPr>
          <w:rFonts w:ascii="Times New Roman" w:hAnsi="Times New Roman"/>
          <w:sz w:val="24"/>
        </w:rPr>
        <w:t>Настоящая Политика является общедоступным документом Оператора и размещается в свободном доступе на сайте akyarmed.ru, в том числе на страницах, на которых осуществляется сбор персональных данных.</w:t>
      </w:r>
    </w:p>
    <w:p>
      <w:pPr>
        <w:widowControl/>
      </w:pPr>
      <w:r>
        <w:br w:type="page"/>
      </w:r>
    </w:p>
    <w:p>
      <w:pPr>
        <w:widowControl/>
        <w:spacing w:after="60" w:line="252" w:lineRule="auto"/>
        <w:jc w:val="center"/>
      </w:pPr>
      <w:r>
        <w:rPr>
          <w:b/>
        </w:rPr>
        <w:t>СОДЕРЖАНИЕ</w:t>
      </w:r>
    </w:p>
    <w:p>
      <w:pPr>
        <w:widowControl/>
        <w:spacing w:after="20" w:line="252" w:lineRule="auto"/>
      </w:pPr>
      <w:r>
        <w:t>1. Общие положения</w:t>
      </w:r>
    </w:p>
    <w:p>
      <w:pPr>
        <w:widowControl/>
        <w:spacing w:after="20" w:line="252" w:lineRule="auto"/>
      </w:pPr>
      <w:r>
        <w:t>2. Термины и определения</w:t>
      </w:r>
    </w:p>
    <w:p>
      <w:pPr>
        <w:widowControl/>
        <w:spacing w:after="20" w:line="252" w:lineRule="auto"/>
      </w:pPr>
      <w:r>
        <w:t>3. Правовые основания обработки персональных данных</w:t>
      </w:r>
    </w:p>
    <w:p>
      <w:pPr>
        <w:widowControl/>
        <w:spacing w:after="20" w:line="252" w:lineRule="auto"/>
      </w:pPr>
      <w:r>
        <w:t>4. Принципы обработки персональных данных</w:t>
      </w:r>
    </w:p>
    <w:p>
      <w:pPr>
        <w:widowControl/>
        <w:spacing w:after="20" w:line="252" w:lineRule="auto"/>
      </w:pPr>
      <w:r>
        <w:t>5. Категории субъектов персональных данных</w:t>
      </w:r>
    </w:p>
    <w:p>
      <w:pPr>
        <w:widowControl/>
        <w:spacing w:after="20" w:line="252" w:lineRule="auto"/>
      </w:pPr>
      <w:r>
        <w:t>6. Цели обработки, состав данных, основания и сроки</w:t>
      </w:r>
    </w:p>
    <w:p>
      <w:pPr>
        <w:widowControl/>
        <w:spacing w:after="20" w:line="252" w:lineRule="auto"/>
      </w:pPr>
      <w:r>
        <w:t>7. Специальные категории персональных данных и врачебная тайна</w:t>
      </w:r>
    </w:p>
    <w:p>
      <w:pPr>
        <w:widowControl/>
        <w:spacing w:after="20" w:line="252" w:lineRule="auto"/>
      </w:pPr>
      <w:r>
        <w:t>8. Порядок и условия обработки персональных данных</w:t>
      </w:r>
    </w:p>
    <w:p>
      <w:pPr>
        <w:widowControl/>
        <w:spacing w:after="20" w:line="252" w:lineRule="auto"/>
      </w:pPr>
      <w:r>
        <w:t>9. Обработка данных на сайте, cookie и веб-аналитика</w:t>
      </w:r>
    </w:p>
    <w:p>
      <w:pPr>
        <w:widowControl/>
        <w:spacing w:after="20" w:line="252" w:lineRule="auto"/>
      </w:pPr>
      <w:r>
        <w:t>10. Обработка данных в МИС «МедЛок» и сервисе «МедТочка»</w:t>
      </w:r>
    </w:p>
    <w:p>
      <w:pPr>
        <w:widowControl/>
        <w:spacing w:after="20" w:line="252" w:lineRule="auto"/>
      </w:pPr>
      <w:r>
        <w:t>11. Передача данных лабораториям и иным лицам</w:t>
      </w:r>
    </w:p>
    <w:p>
      <w:pPr>
        <w:widowControl/>
        <w:spacing w:after="20" w:line="252" w:lineRule="auto"/>
      </w:pPr>
      <w:r>
        <w:t>12. Локализация и трансграничная передача</w:t>
      </w:r>
    </w:p>
    <w:p>
      <w:pPr>
        <w:widowControl/>
        <w:spacing w:after="20" w:line="252" w:lineRule="auto"/>
      </w:pPr>
      <w:r>
        <w:t>13. Сроки хранения, блокирование и уничтожение</w:t>
      </w:r>
    </w:p>
    <w:p>
      <w:pPr>
        <w:widowControl/>
        <w:spacing w:after="20" w:line="252" w:lineRule="auto"/>
      </w:pPr>
      <w:r>
        <w:t>14. Права субъектов персональных данных</w:t>
      </w:r>
    </w:p>
    <w:p>
      <w:pPr>
        <w:widowControl/>
        <w:spacing w:after="20" w:line="252" w:lineRule="auto"/>
      </w:pPr>
      <w:r>
        <w:t>15. Порядок рассмотрения обращений</w:t>
      </w:r>
    </w:p>
    <w:p>
      <w:pPr>
        <w:widowControl/>
        <w:spacing w:after="20" w:line="252" w:lineRule="auto"/>
      </w:pPr>
      <w:r>
        <w:t>16. Обязанности Оператора</w:t>
      </w:r>
    </w:p>
    <w:p>
      <w:pPr>
        <w:widowControl/>
        <w:spacing w:after="20" w:line="252" w:lineRule="auto"/>
      </w:pPr>
      <w:r>
        <w:t>17. Меры по обеспечению безопасности</w:t>
      </w:r>
    </w:p>
    <w:p>
      <w:pPr>
        <w:widowControl/>
        <w:spacing w:after="20" w:line="252" w:lineRule="auto"/>
      </w:pPr>
      <w:r>
        <w:t>18. Действия при инцидентах</w:t>
      </w:r>
    </w:p>
    <w:p>
      <w:pPr>
        <w:widowControl/>
        <w:spacing w:after="20" w:line="252" w:lineRule="auto"/>
      </w:pPr>
      <w:r>
        <w:t>19. Внутренний контроль и оценка вреда</w:t>
      </w:r>
    </w:p>
    <w:p>
      <w:pPr>
        <w:widowControl/>
        <w:spacing w:after="20" w:line="252" w:lineRule="auto"/>
      </w:pPr>
      <w:r>
        <w:t>20. Ответственность</w:t>
      </w:r>
    </w:p>
    <w:p>
      <w:pPr>
        <w:widowControl/>
        <w:spacing w:after="20" w:line="252" w:lineRule="auto"/>
      </w:pPr>
      <w:r>
        <w:t>21. Заключительные положения</w:t>
      </w:r>
    </w:p>
    <w:p>
      <w:pPr>
        <w:widowControl/>
        <w:spacing w:after="20" w:line="252" w:lineRule="auto"/>
      </w:pPr>
      <w:r>
        <w:t>Приложение 1. Матрица целей обработки</w:t>
      </w:r>
    </w:p>
    <w:p>
      <w:pPr>
        <w:widowControl/>
        <w:spacing w:after="20" w:line="252" w:lineRule="auto"/>
      </w:pPr>
      <w:r>
        <w:t>Приложение 2. Основные категории получателей и систем</w:t>
      </w:r>
    </w:p>
    <w:p>
      <w:pPr>
        <w:widowControl/>
        <w:spacing w:after="20" w:line="252" w:lineRule="auto"/>
      </w:pPr>
      <w:r>
        <w:t>Приложение 3. Порядок уничтожения персональных данных</w:t>
      </w:r>
    </w:p>
    <w:p>
      <w:pPr>
        <w:widowControl/>
      </w:pPr>
      <w:r>
        <w:br w:type="page"/>
      </w:r>
    </w:p>
    <w:p>
      <w:pPr>
        <w:pStyle w:val="Heading1"/>
        <w:keepNext/>
        <w:widowControl/>
      </w:pPr>
      <w:r>
        <w:t>1. Общие положения</w:t>
      </w:r>
    </w:p>
    <w:p>
      <w:pPr>
        <w:widowControl/>
        <w:spacing w:after="60" w:line="252" w:lineRule="auto"/>
      </w:pPr>
      <w:r>
        <w:t>1.1. Настоящая Политика в отношении обработки персональных данных (далее - Политика) определяет принципы, цели, правовые основания, содержание и порядок обработки персональных данных, категории субъектов персональных данных, перечень реализуемых мер по обеспечению безопасности, а также порядок реализации прав субъектов персональных данных в ООО «ЯРДАН МЕД» (далее - Оператор).</w:t>
      </w:r>
    </w:p>
    <w:p>
      <w:pPr>
        <w:widowControl/>
        <w:spacing w:after="60" w:line="252" w:lineRule="auto"/>
      </w:pPr>
      <w:r>
        <w:t>1.2. Политика разработана во исполнение статьи 18.1 Федерального закона от 27.07.2006 № 152-ФЗ «О персональных данных» и применяется ко всей обработке персональных данных, осуществляемой Оператором с использованием средств автоматизации и без их использования, если иное прямо не установлено законодательством Российской Федерации.</w:t>
      </w:r>
    </w:p>
    <w:p>
      <w:pPr>
        <w:widowControl/>
        <w:spacing w:after="60" w:line="252" w:lineRule="auto"/>
      </w:pPr>
      <w:r>
        <w:t>1.3. Оператор осуществляет медицинскую деятельность на основании лицензии Л041-01181-16/05293998 от 11.06.2026 и обрабатывает персональные данные в связи с оказанием платных медицинских услуг, ведением медицинской документации, работой сайта, исполнением трудовых и гражданско-правовых отношений, ведением бухгалтерского и налогового учета и выполнением иных законных обязанностей.</w:t>
      </w:r>
    </w:p>
    <w:p>
      <w:pPr>
        <w:widowControl/>
        <w:spacing w:after="60" w:line="252" w:lineRule="auto"/>
      </w:pPr>
      <w:r>
        <w:t>1.4. Действие Политики распространяется на персональные данные пациентов, лиц, намеревающихся получить медицинские услуги, их законных представителей, посетителей сайта, работников, соискателей, представителей контрагентов и иных лиц, персональные данные которых правомерно получены Оператором.</w:t>
      </w:r>
    </w:p>
    <w:p>
      <w:pPr>
        <w:widowControl/>
        <w:spacing w:after="60" w:line="252" w:lineRule="auto"/>
      </w:pPr>
      <w:r>
        <w:t>1.5. Политика не заменяет отдельные согласия субъектов персональных данных, когда получение такого согласия обязательно. Согласия оформляются отдельно, конкретно, предметно, информированно, сознательно и однозначно.</w:t>
      </w:r>
    </w:p>
    <w:p>
      <w:pPr>
        <w:widowControl/>
        <w:spacing w:after="60" w:line="252" w:lineRule="auto"/>
      </w:pPr>
      <w:r>
        <w:t>1.6. Оператор не обусловливает получение медицинской услуги согласием на обработку персональных данных, не необходимую для ее оказания. Согласие на рекламу и информационные рассылки является добровольным и оформляется отдельно.</w:t>
      </w:r>
    </w:p>
    <w:p>
      <w:pPr>
        <w:widowControl/>
        <w:spacing w:after="60" w:line="252" w:lineRule="auto"/>
      </w:pPr>
      <w:r>
        <w:t>1.7. Использование сайта само по себе не означает согласия на обработку любых персональных данных. Обработка данных, требующая согласия, осуществляется после совершения пользователем однозначного подтверждающего действия, например установки отметки в соответствующем поле формы.</w:t>
      </w:r>
    </w:p>
    <w:p>
      <w:pPr>
        <w:widowControl/>
        <w:spacing w:after="60" w:line="252" w:lineRule="auto"/>
      </w:pPr>
      <w:r>
        <w:t>1.8. Оператор обеспечивает неограниченный доступ к Политике и поддерживает ее в актуальном состоянии.</w:t>
      </w:r>
    </w:p>
    <w:p>
      <w:pPr>
        <w:pStyle w:val="Heading1"/>
        <w:keepNext/>
        <w:widowControl/>
      </w:pPr>
      <w:r>
        <w:t>2. Термины и определения</w:t>
      </w:r>
    </w:p>
    <w:tbl>
      <w:tblPr>
        <w:tblStyle w:val="TableGrid"/>
        <w:tblW w:type="auto" w:w="0"/>
        <w:jc w:val="center"/>
        <w:tblLook w:firstColumn="1" w:firstRow="1" w:lastColumn="0" w:lastRow="0" w:noHBand="0" w:noVBand="1" w:val="04A0"/>
      </w:tblPr>
      <w:tblGrid>
        <w:gridCol w:w="5014"/>
        <w:gridCol w:w="5014"/>
      </w:tblGrid>
      <w:tr>
        <w:trPr>
          <w:tblHeader w:val="true"/>
        </w:trPr>
        <w:tc>
          <w:tcPr>
            <w:tcW w:type="dxa" w:w="2835"/>
            <w:shd w:fill="D9EAF7"/>
            <w:vAlign w:val="center"/>
          </w:tcPr>
          <w:p>
            <w:r>
              <w:rPr>
                <w:b/>
                <w:sz w:val="17"/>
              </w:rPr>
              <w:t>Термин</w:t>
            </w:r>
          </w:p>
        </w:tc>
        <w:tc>
          <w:tcPr>
            <w:tcW w:type="dxa" w:w="6803"/>
            <w:shd w:fill="D9EAF7"/>
            <w:vAlign w:val="center"/>
          </w:tcPr>
          <w:p>
            <w:r>
              <w:rPr>
                <w:b/>
                <w:sz w:val="17"/>
              </w:rPr>
              <w:t>Определение</w:t>
            </w:r>
          </w:p>
        </w:tc>
      </w:tr>
      <w:tr>
        <w:tc>
          <w:tcPr>
            <w:tcW w:type="dxa" w:w="2835"/>
            <w:vAlign w:val="top"/>
          </w:tcPr>
          <w:p>
            <w:pPr>
              <w:spacing w:after="0" w:line="240" w:lineRule="auto"/>
            </w:pPr>
            <w:r>
              <w:rPr>
                <w:rFonts w:ascii="Times New Roman" w:hAnsi="Times New Roman"/>
                <w:sz w:val="17"/>
              </w:rPr>
              <w:t>Персональные данные</w:t>
            </w:r>
          </w:p>
        </w:tc>
        <w:tc>
          <w:tcPr>
            <w:tcW w:type="dxa" w:w="6803"/>
            <w:vAlign w:val="top"/>
          </w:tcPr>
          <w:p>
            <w:pPr>
              <w:spacing w:after="0" w:line="240" w:lineRule="auto"/>
            </w:pPr>
            <w:r>
              <w:rPr>
                <w:rFonts w:ascii="Times New Roman" w:hAnsi="Times New Roman"/>
                <w:sz w:val="17"/>
              </w:rPr>
              <w:t>любая информация, относящаяся к прямо или косвенно определенному или определяемому физическому лицу.</w:t>
            </w:r>
          </w:p>
        </w:tc>
      </w:tr>
      <w:tr>
        <w:tc>
          <w:tcPr>
            <w:tcW w:type="dxa" w:w="2835"/>
            <w:vAlign w:val="top"/>
          </w:tcPr>
          <w:p>
            <w:pPr>
              <w:spacing w:after="0" w:line="240" w:lineRule="auto"/>
            </w:pPr>
            <w:r>
              <w:rPr>
                <w:rFonts w:ascii="Times New Roman" w:hAnsi="Times New Roman"/>
                <w:sz w:val="17"/>
              </w:rPr>
              <w:t>Оператор</w:t>
            </w:r>
          </w:p>
        </w:tc>
        <w:tc>
          <w:tcPr>
            <w:tcW w:type="dxa" w:w="6803"/>
            <w:vAlign w:val="top"/>
          </w:tcPr>
          <w:p>
            <w:pPr>
              <w:spacing w:after="0" w:line="240" w:lineRule="auto"/>
            </w:pPr>
            <w:r>
              <w:rPr>
                <w:rFonts w:ascii="Times New Roman" w:hAnsi="Times New Roman"/>
                <w:sz w:val="17"/>
              </w:rPr>
              <w:t>ООО «ЯРДАН МЕД», самостоятельно или совместно с другими лицами организующее и (или) осуществляющее обработку персональных данных и определяющее цели, состав данных и операции с ними.</w:t>
            </w:r>
          </w:p>
        </w:tc>
      </w:tr>
      <w:tr>
        <w:tc>
          <w:tcPr>
            <w:tcW w:type="dxa" w:w="2835"/>
            <w:vAlign w:val="top"/>
          </w:tcPr>
          <w:p>
            <w:pPr>
              <w:spacing w:after="0" w:line="240" w:lineRule="auto"/>
            </w:pPr>
            <w:r>
              <w:rPr>
                <w:rFonts w:ascii="Times New Roman" w:hAnsi="Times New Roman"/>
                <w:sz w:val="17"/>
              </w:rPr>
              <w:t>Обработка персональных данных</w:t>
            </w:r>
          </w:p>
        </w:tc>
        <w:tc>
          <w:tcPr>
            <w:tcW w:type="dxa" w:w="6803"/>
            <w:vAlign w:val="top"/>
          </w:tcPr>
          <w:p>
            <w:pPr>
              <w:spacing w:after="0" w:line="240" w:lineRule="auto"/>
            </w:pPr>
            <w:r>
              <w:rPr>
                <w:rFonts w:ascii="Times New Roman" w:hAnsi="Times New Roman"/>
                <w:sz w:val="17"/>
              </w:rPr>
              <w:t>любое действие или совокупность действий с персональными данными, включая сбор, запись, систематизацию, накопление, хранение, уточнение, извлечение, использование, передачу, обезличивание, блокирование, удаление и уничтожение.</w:t>
            </w:r>
          </w:p>
        </w:tc>
      </w:tr>
      <w:tr>
        <w:tc>
          <w:tcPr>
            <w:tcW w:type="dxa" w:w="2835"/>
            <w:vAlign w:val="top"/>
          </w:tcPr>
          <w:p>
            <w:pPr>
              <w:spacing w:after="0" w:line="240" w:lineRule="auto"/>
            </w:pPr>
            <w:r>
              <w:rPr>
                <w:rFonts w:ascii="Times New Roman" w:hAnsi="Times New Roman"/>
                <w:sz w:val="17"/>
              </w:rPr>
              <w:t>Автоматизированная обработка</w:t>
            </w:r>
          </w:p>
        </w:tc>
        <w:tc>
          <w:tcPr>
            <w:tcW w:type="dxa" w:w="6803"/>
            <w:vAlign w:val="top"/>
          </w:tcPr>
          <w:p>
            <w:pPr>
              <w:spacing w:after="0" w:line="240" w:lineRule="auto"/>
            </w:pPr>
            <w:r>
              <w:rPr>
                <w:rFonts w:ascii="Times New Roman" w:hAnsi="Times New Roman"/>
                <w:sz w:val="17"/>
              </w:rPr>
              <w:t>обработка персональных данных с помощью средств вычислительной техники.</w:t>
            </w:r>
          </w:p>
        </w:tc>
      </w:tr>
      <w:tr>
        <w:tc>
          <w:tcPr>
            <w:tcW w:type="dxa" w:w="2835"/>
            <w:vAlign w:val="top"/>
          </w:tcPr>
          <w:p>
            <w:pPr>
              <w:spacing w:after="0" w:line="240" w:lineRule="auto"/>
            </w:pPr>
            <w:r>
              <w:rPr>
                <w:rFonts w:ascii="Times New Roman" w:hAnsi="Times New Roman"/>
                <w:sz w:val="17"/>
              </w:rPr>
              <w:t>Предоставление персональных данных</w:t>
            </w:r>
          </w:p>
        </w:tc>
        <w:tc>
          <w:tcPr>
            <w:tcW w:type="dxa" w:w="6803"/>
            <w:vAlign w:val="top"/>
          </w:tcPr>
          <w:p>
            <w:pPr>
              <w:spacing w:after="0" w:line="240" w:lineRule="auto"/>
            </w:pPr>
            <w:r>
              <w:rPr>
                <w:rFonts w:ascii="Times New Roman" w:hAnsi="Times New Roman"/>
                <w:sz w:val="17"/>
              </w:rPr>
              <w:t>действия, направленные на раскрытие персональных данных определенному лицу или определенному кругу лиц.</w:t>
            </w:r>
          </w:p>
        </w:tc>
      </w:tr>
      <w:tr>
        <w:tc>
          <w:tcPr>
            <w:tcW w:type="dxa" w:w="2835"/>
            <w:vAlign w:val="top"/>
          </w:tcPr>
          <w:p>
            <w:pPr>
              <w:spacing w:after="0" w:line="240" w:lineRule="auto"/>
            </w:pPr>
            <w:r>
              <w:rPr>
                <w:rFonts w:ascii="Times New Roman" w:hAnsi="Times New Roman"/>
                <w:sz w:val="17"/>
              </w:rPr>
              <w:t>Распространение персональных данных</w:t>
            </w:r>
          </w:p>
        </w:tc>
        <w:tc>
          <w:tcPr>
            <w:tcW w:type="dxa" w:w="6803"/>
            <w:vAlign w:val="top"/>
          </w:tcPr>
          <w:p>
            <w:pPr>
              <w:spacing w:after="0" w:line="240" w:lineRule="auto"/>
            </w:pPr>
            <w:r>
              <w:rPr>
                <w:rFonts w:ascii="Times New Roman" w:hAnsi="Times New Roman"/>
                <w:sz w:val="17"/>
              </w:rPr>
              <w:t>действия, направленные на раскрытие персональных данных неопределенному кругу лиц.</w:t>
            </w:r>
          </w:p>
        </w:tc>
      </w:tr>
      <w:tr>
        <w:tc>
          <w:tcPr>
            <w:tcW w:type="dxa" w:w="2835"/>
            <w:vAlign w:val="top"/>
          </w:tcPr>
          <w:p>
            <w:pPr>
              <w:spacing w:after="0" w:line="240" w:lineRule="auto"/>
            </w:pPr>
            <w:r>
              <w:rPr>
                <w:rFonts w:ascii="Times New Roman" w:hAnsi="Times New Roman"/>
                <w:sz w:val="17"/>
              </w:rPr>
              <w:t>Блокирование</w:t>
            </w:r>
          </w:p>
        </w:tc>
        <w:tc>
          <w:tcPr>
            <w:tcW w:type="dxa" w:w="6803"/>
            <w:vAlign w:val="top"/>
          </w:tcPr>
          <w:p>
            <w:pPr>
              <w:spacing w:after="0" w:line="240" w:lineRule="auto"/>
            </w:pPr>
            <w:r>
              <w:rPr>
                <w:rFonts w:ascii="Times New Roman" w:hAnsi="Times New Roman"/>
                <w:sz w:val="17"/>
              </w:rPr>
              <w:t>временное прекращение обработки, кроме случаев, когда обработка необходима для уточнения данных.</w:t>
            </w:r>
          </w:p>
        </w:tc>
      </w:tr>
      <w:tr>
        <w:tc>
          <w:tcPr>
            <w:tcW w:type="dxa" w:w="2835"/>
            <w:vAlign w:val="top"/>
          </w:tcPr>
          <w:p>
            <w:pPr>
              <w:spacing w:after="0" w:line="240" w:lineRule="auto"/>
            </w:pPr>
            <w:r>
              <w:rPr>
                <w:rFonts w:ascii="Times New Roman" w:hAnsi="Times New Roman"/>
                <w:sz w:val="17"/>
              </w:rPr>
              <w:t>Уничтожение</w:t>
            </w:r>
          </w:p>
        </w:tc>
        <w:tc>
          <w:tcPr>
            <w:tcW w:type="dxa" w:w="6803"/>
            <w:vAlign w:val="top"/>
          </w:tcPr>
          <w:p>
            <w:pPr>
              <w:spacing w:after="0" w:line="240" w:lineRule="auto"/>
            </w:pPr>
            <w:r>
              <w:rPr>
                <w:rFonts w:ascii="Times New Roman" w:hAnsi="Times New Roman"/>
                <w:sz w:val="17"/>
              </w:rPr>
              <w:t>действия, в результате которых невозможно восстановить содержание персональных данных в информационной системе и (или) уничтожаются материальные носители.</w:t>
            </w:r>
          </w:p>
        </w:tc>
      </w:tr>
      <w:tr>
        <w:tc>
          <w:tcPr>
            <w:tcW w:type="dxa" w:w="2835"/>
            <w:vAlign w:val="top"/>
          </w:tcPr>
          <w:p>
            <w:pPr>
              <w:spacing w:after="0" w:line="240" w:lineRule="auto"/>
            </w:pPr>
            <w:r>
              <w:rPr>
                <w:rFonts w:ascii="Times New Roman" w:hAnsi="Times New Roman"/>
                <w:sz w:val="17"/>
              </w:rPr>
              <w:t>Обезличивание</w:t>
            </w:r>
          </w:p>
        </w:tc>
        <w:tc>
          <w:tcPr>
            <w:tcW w:type="dxa" w:w="6803"/>
            <w:vAlign w:val="top"/>
          </w:tcPr>
          <w:p>
            <w:pPr>
              <w:spacing w:after="0" w:line="240" w:lineRule="auto"/>
            </w:pPr>
            <w:r>
              <w:rPr>
                <w:rFonts w:ascii="Times New Roman" w:hAnsi="Times New Roman"/>
                <w:sz w:val="17"/>
              </w:rPr>
              <w:t>действия, в результате которых без использования дополнительной информации невозможно определить принадлежность персональных данных конкретному субъекту.</w:t>
            </w:r>
          </w:p>
        </w:tc>
      </w:tr>
      <w:tr>
        <w:tc>
          <w:tcPr>
            <w:tcW w:type="dxa" w:w="2835"/>
            <w:vAlign w:val="top"/>
          </w:tcPr>
          <w:p>
            <w:pPr>
              <w:spacing w:after="0" w:line="240" w:lineRule="auto"/>
            </w:pPr>
            <w:r>
              <w:rPr>
                <w:rFonts w:ascii="Times New Roman" w:hAnsi="Times New Roman"/>
                <w:sz w:val="17"/>
              </w:rPr>
              <w:t>Специальные категории персональных данных</w:t>
            </w:r>
          </w:p>
        </w:tc>
        <w:tc>
          <w:tcPr>
            <w:tcW w:type="dxa" w:w="6803"/>
            <w:vAlign w:val="top"/>
          </w:tcPr>
          <w:p>
            <w:pPr>
              <w:spacing w:after="0" w:line="240" w:lineRule="auto"/>
            </w:pPr>
            <w:r>
              <w:rPr>
                <w:rFonts w:ascii="Times New Roman" w:hAnsi="Times New Roman"/>
                <w:sz w:val="17"/>
              </w:rPr>
              <w:t>данные, касающиеся, в частности, состояния здоровья.</w:t>
            </w:r>
          </w:p>
        </w:tc>
      </w:tr>
      <w:tr>
        <w:tc>
          <w:tcPr>
            <w:tcW w:type="dxa" w:w="2835"/>
            <w:vAlign w:val="top"/>
          </w:tcPr>
          <w:p>
            <w:pPr>
              <w:spacing w:after="0" w:line="240" w:lineRule="auto"/>
            </w:pPr>
            <w:r>
              <w:rPr>
                <w:rFonts w:ascii="Times New Roman" w:hAnsi="Times New Roman"/>
                <w:sz w:val="17"/>
              </w:rPr>
              <w:t>Биометрические персональные данные</w:t>
            </w:r>
          </w:p>
        </w:tc>
        <w:tc>
          <w:tcPr>
            <w:tcW w:type="dxa" w:w="6803"/>
            <w:vAlign w:val="top"/>
          </w:tcPr>
          <w:p>
            <w:pPr>
              <w:spacing w:after="0" w:line="240" w:lineRule="auto"/>
            </w:pPr>
            <w:r>
              <w:rPr>
                <w:rFonts w:ascii="Times New Roman" w:hAnsi="Times New Roman"/>
                <w:sz w:val="17"/>
              </w:rPr>
              <w:t>сведения, характеризующие физиологические и биологические особенности человека, используемые Оператором для установления личности. Оператор не осуществляет биометрическую идентификацию пациентов, если иное не будет отдельно внедрено на законном основании.</w:t>
            </w:r>
          </w:p>
        </w:tc>
      </w:tr>
      <w:tr>
        <w:tc>
          <w:tcPr>
            <w:tcW w:type="dxa" w:w="2835"/>
            <w:vAlign w:val="top"/>
          </w:tcPr>
          <w:p>
            <w:pPr>
              <w:spacing w:after="0" w:line="240" w:lineRule="auto"/>
            </w:pPr>
            <w:r>
              <w:rPr>
                <w:rFonts w:ascii="Times New Roman" w:hAnsi="Times New Roman"/>
                <w:sz w:val="17"/>
              </w:rPr>
              <w:t>Врачебная тайна</w:t>
            </w:r>
          </w:p>
        </w:tc>
        <w:tc>
          <w:tcPr>
            <w:tcW w:type="dxa" w:w="6803"/>
            <w:vAlign w:val="top"/>
          </w:tcPr>
          <w:p>
            <w:pPr>
              <w:spacing w:after="0" w:line="240" w:lineRule="auto"/>
            </w:pPr>
            <w:r>
              <w:rPr>
                <w:rFonts w:ascii="Times New Roman" w:hAnsi="Times New Roman"/>
                <w:sz w:val="17"/>
              </w:rPr>
              <w:t>сведения о факте обращения за медицинской помощью, состоянии здоровья и диагнозе, а также иные сведения, полученные при медицинском обследовании и лечении.</w:t>
            </w:r>
          </w:p>
        </w:tc>
      </w:tr>
      <w:tr>
        <w:tc>
          <w:tcPr>
            <w:tcW w:type="dxa" w:w="2835"/>
            <w:vAlign w:val="top"/>
          </w:tcPr>
          <w:p>
            <w:pPr>
              <w:spacing w:after="0" w:line="240" w:lineRule="auto"/>
            </w:pPr>
            <w:r>
              <w:rPr>
                <w:rFonts w:ascii="Times New Roman" w:hAnsi="Times New Roman"/>
                <w:sz w:val="17"/>
              </w:rPr>
              <w:t>Сайт</w:t>
            </w:r>
          </w:p>
        </w:tc>
        <w:tc>
          <w:tcPr>
            <w:tcW w:type="dxa" w:w="6803"/>
            <w:vAlign w:val="top"/>
          </w:tcPr>
          <w:p>
            <w:pPr>
              <w:spacing w:after="0" w:line="240" w:lineRule="auto"/>
            </w:pPr>
            <w:r>
              <w:rPr>
                <w:rFonts w:ascii="Times New Roman" w:hAnsi="Times New Roman"/>
                <w:sz w:val="17"/>
              </w:rPr>
              <w:t>совокупность программ, баз данных и материалов, доступных по адресу akyarmed.ru.</w:t>
            </w:r>
          </w:p>
        </w:tc>
      </w:tr>
      <w:tr>
        <w:tc>
          <w:tcPr>
            <w:tcW w:type="dxa" w:w="2835"/>
            <w:vAlign w:val="top"/>
          </w:tcPr>
          <w:p>
            <w:pPr>
              <w:spacing w:after="0" w:line="240" w:lineRule="auto"/>
            </w:pPr>
            <w:r>
              <w:rPr>
                <w:rFonts w:ascii="Times New Roman" w:hAnsi="Times New Roman"/>
                <w:sz w:val="17"/>
              </w:rPr>
              <w:t>Cookie</w:t>
            </w:r>
          </w:p>
        </w:tc>
        <w:tc>
          <w:tcPr>
            <w:tcW w:type="dxa" w:w="6803"/>
            <w:vAlign w:val="top"/>
          </w:tcPr>
          <w:p>
            <w:pPr>
              <w:spacing w:after="0" w:line="240" w:lineRule="auto"/>
            </w:pPr>
            <w:r>
              <w:rPr>
                <w:rFonts w:ascii="Times New Roman" w:hAnsi="Times New Roman"/>
                <w:sz w:val="17"/>
              </w:rPr>
              <w:t>небольшой фрагмент данных, сохраняемый браузером на устройстве пользователя при посещении сайта.</w:t>
            </w:r>
          </w:p>
        </w:tc>
      </w:tr>
    </w:tbl>
    <w:p>
      <w:pPr>
        <w:widowControl/>
        <w:spacing w:after="20"/>
      </w:pPr>
    </w:p>
    <w:p>
      <w:pPr>
        <w:pStyle w:val="Heading1"/>
        <w:keepNext/>
        <w:widowControl/>
      </w:pPr>
      <w:r>
        <w:t>3. Правовые основания обработки персональных данных</w:t>
      </w:r>
    </w:p>
    <w:p>
      <w:pPr>
        <w:pStyle w:val="ListBullet"/>
        <w:widowControl/>
        <w:spacing w:after="20" w:line="240" w:lineRule="auto"/>
      </w:pPr>
      <w:r>
        <w:t>Конституция Российской Федерации;</w:t>
      </w:r>
    </w:p>
    <w:p>
      <w:pPr>
        <w:pStyle w:val="ListBullet"/>
        <w:widowControl/>
        <w:spacing w:after="20" w:line="240" w:lineRule="auto"/>
      </w:pPr>
      <w:r>
        <w:t>Федеральный закон от 27.07.2006 № 152-ФЗ «О персональных данных»;</w:t>
      </w:r>
    </w:p>
    <w:p>
      <w:pPr>
        <w:pStyle w:val="ListBullet"/>
        <w:widowControl/>
        <w:spacing w:after="20" w:line="240" w:lineRule="auto"/>
      </w:pPr>
      <w:r>
        <w:t>Федеральный закон от 21.11.2011 № 323-ФЗ «Об основах охраны здоровья граждан в Российской Федерации»;</w:t>
      </w:r>
    </w:p>
    <w:p>
      <w:pPr>
        <w:pStyle w:val="ListBullet"/>
        <w:widowControl/>
        <w:spacing w:after="20" w:line="240" w:lineRule="auto"/>
      </w:pPr>
      <w:r>
        <w:t>Федеральный закон от 29.11.2010 № 326-ФЗ «Об обязательном медицинском страховании в Российской Федерации» - в части общих требований законодательства, при этом клиника оказывает только платные услуги и не работает по ОМС;</w:t>
      </w:r>
    </w:p>
    <w:p>
      <w:pPr>
        <w:pStyle w:val="ListBullet"/>
        <w:widowControl/>
        <w:spacing w:after="20" w:line="240" w:lineRule="auto"/>
      </w:pPr>
      <w:r>
        <w:t>Закон Российской Федерации от 07.02.1992 № 2300-1 «О защите прав потребителей»;</w:t>
      </w:r>
    </w:p>
    <w:p>
      <w:pPr>
        <w:pStyle w:val="ListBullet"/>
        <w:widowControl/>
        <w:spacing w:after="20" w:line="240" w:lineRule="auto"/>
      </w:pPr>
      <w:r>
        <w:t>Трудовой кодекс Российской Федерации, Налоговый кодекс Российской Федерации, Федеральный закон от 06.12.2011 № 402-ФЗ «О бухгалтерском учете»;</w:t>
      </w:r>
    </w:p>
    <w:p>
      <w:pPr>
        <w:pStyle w:val="ListBullet"/>
        <w:widowControl/>
        <w:spacing w:after="20" w:line="240" w:lineRule="auto"/>
      </w:pPr>
      <w:r>
        <w:t>Правила предоставления медицинскими организациями платных медицинских услуг, действующие на дату оказания услуг;</w:t>
      </w:r>
    </w:p>
    <w:p>
      <w:pPr>
        <w:pStyle w:val="ListBullet"/>
        <w:widowControl/>
        <w:spacing w:after="20" w:line="240" w:lineRule="auto"/>
      </w:pPr>
      <w:r>
        <w:t>нормативные акты, устанавливающие правила ведения и сроки хранения медицинской документации;</w:t>
      </w:r>
    </w:p>
    <w:p>
      <w:pPr>
        <w:pStyle w:val="ListBullet"/>
        <w:widowControl/>
        <w:spacing w:after="20" w:line="240" w:lineRule="auto"/>
      </w:pPr>
      <w:r>
        <w:t>договоры с субъектами персональных данных и договоры, по которым субъект является выгодоприобретателем;</w:t>
      </w:r>
    </w:p>
    <w:p>
      <w:pPr>
        <w:pStyle w:val="ListBullet"/>
        <w:widowControl/>
        <w:spacing w:after="20" w:line="240" w:lineRule="auto"/>
      </w:pPr>
      <w:r>
        <w:t>согласия субъектов персональных данных, когда обработка не может осуществляться на ином законном основании;</w:t>
      </w:r>
    </w:p>
    <w:p>
      <w:pPr>
        <w:pStyle w:val="ListBullet"/>
        <w:widowControl/>
        <w:spacing w:after="20" w:line="240" w:lineRule="auto"/>
      </w:pPr>
      <w:r>
        <w:t>законные интересы Оператора при условии, что не нарушаются права и свободы субъектов.</w:t>
      </w:r>
    </w:p>
    <w:p>
      <w:pPr>
        <w:widowControl/>
        <w:spacing w:after="60" w:line="252" w:lineRule="auto"/>
      </w:pPr>
      <w:r>
        <w:t>3.2. Обработка специальных категорий персональных данных о состоянии здоровья осуществляется в случаях, предусмотренных законодательством, в том числе в медико-профилактических целях, для установления медицинского диагноза и оказания медицинских услуг лицами, профессионально занимающимися медицинской деятельностью и обязанными сохранять врачебную тайну, а также на основании письменного согласия, когда оно требуется.</w:t>
      </w:r>
    </w:p>
    <w:p>
      <w:pPr>
        <w:pStyle w:val="Heading1"/>
        <w:keepNext/>
        <w:widowControl/>
      </w:pPr>
      <w:r>
        <w:t>4. Принципы обработки персональных данных</w:t>
      </w:r>
    </w:p>
    <w:p>
      <w:pPr>
        <w:pStyle w:val="ListBullet"/>
        <w:widowControl/>
        <w:spacing w:after="20" w:line="240" w:lineRule="auto"/>
      </w:pPr>
      <w:r>
        <w:t>законность и справедливость обработки;</w:t>
      </w:r>
    </w:p>
    <w:p>
      <w:pPr>
        <w:pStyle w:val="ListBullet"/>
        <w:widowControl/>
        <w:spacing w:after="20" w:line="240" w:lineRule="auto"/>
      </w:pPr>
      <w:r>
        <w:t>ограничение обработки конкретными, заранее определенными и законными целями;</w:t>
      </w:r>
    </w:p>
    <w:p>
      <w:pPr>
        <w:pStyle w:val="ListBullet"/>
        <w:widowControl/>
        <w:spacing w:after="20" w:line="240" w:lineRule="auto"/>
      </w:pPr>
      <w:r>
        <w:t>недопустимость обработки, несовместимой с целями сбора;</w:t>
      </w:r>
    </w:p>
    <w:p>
      <w:pPr>
        <w:pStyle w:val="ListBullet"/>
        <w:widowControl/>
        <w:spacing w:after="20" w:line="240" w:lineRule="auto"/>
      </w:pPr>
      <w:r>
        <w:t>недопустимость объединения баз данных, содержащих персональные данные, если цели их обработки несовместимы;</w:t>
      </w:r>
    </w:p>
    <w:p>
      <w:pPr>
        <w:pStyle w:val="ListBullet"/>
        <w:widowControl/>
        <w:spacing w:after="20" w:line="240" w:lineRule="auto"/>
      </w:pPr>
      <w:r>
        <w:t>соответствие содержания и объема данных заявленным целям;</w:t>
      </w:r>
    </w:p>
    <w:p>
      <w:pPr>
        <w:pStyle w:val="ListBullet"/>
        <w:widowControl/>
        <w:spacing w:after="20" w:line="240" w:lineRule="auto"/>
      </w:pPr>
      <w:r>
        <w:t>точность, достаточность и актуальность данных;</w:t>
      </w:r>
    </w:p>
    <w:p>
      <w:pPr>
        <w:pStyle w:val="ListBullet"/>
        <w:widowControl/>
        <w:spacing w:after="20" w:line="240" w:lineRule="auto"/>
      </w:pPr>
      <w:r>
        <w:t>хранение не дольше, чем этого требуют цели обработки или законодательство;</w:t>
      </w:r>
    </w:p>
    <w:p>
      <w:pPr>
        <w:pStyle w:val="ListBullet"/>
        <w:widowControl/>
        <w:spacing w:after="20" w:line="240" w:lineRule="auto"/>
      </w:pPr>
      <w:r>
        <w:t>уничтожение или обезличивание после достижения целей, если отсутствуют иные законные основания;</w:t>
      </w:r>
    </w:p>
    <w:p>
      <w:pPr>
        <w:pStyle w:val="ListBullet"/>
        <w:widowControl/>
        <w:spacing w:after="20" w:line="240" w:lineRule="auto"/>
      </w:pPr>
      <w:r>
        <w:t>обеспечение конфиденциальности и безопасности персональных данных.</w:t>
      </w:r>
    </w:p>
    <w:p>
      <w:pPr>
        <w:pStyle w:val="Heading1"/>
        <w:keepNext/>
        <w:widowControl/>
      </w:pPr>
      <w:r>
        <w:t>5. Категории субъектов персональных данных</w:t>
      </w:r>
    </w:p>
    <w:p>
      <w:pPr>
        <w:pStyle w:val="ListBullet"/>
        <w:widowControl/>
        <w:spacing w:after="20" w:line="240" w:lineRule="auto"/>
      </w:pPr>
      <w:r>
        <w:t>пациенты, включая несовершеннолетних пациентов;</w:t>
      </w:r>
    </w:p>
    <w:p>
      <w:pPr>
        <w:pStyle w:val="ListBullet"/>
        <w:widowControl/>
        <w:spacing w:after="20" w:line="240" w:lineRule="auto"/>
      </w:pPr>
      <w:r>
        <w:t>лица, намеревающиеся заключить договор на оказание платных медицинских услуг;</w:t>
      </w:r>
    </w:p>
    <w:p>
      <w:pPr>
        <w:pStyle w:val="ListBullet"/>
        <w:widowControl/>
        <w:spacing w:after="20" w:line="240" w:lineRule="auto"/>
      </w:pPr>
      <w:r>
        <w:t>законные представители пациентов, плательщики и выгодоприобретатели;</w:t>
      </w:r>
    </w:p>
    <w:p>
      <w:pPr>
        <w:pStyle w:val="ListBullet"/>
        <w:widowControl/>
        <w:spacing w:after="20" w:line="240" w:lineRule="auto"/>
      </w:pPr>
      <w:r>
        <w:t>посетители сайта, пользователи форм записи и обратной связи;</w:t>
      </w:r>
    </w:p>
    <w:p>
      <w:pPr>
        <w:pStyle w:val="ListBullet"/>
        <w:widowControl/>
        <w:spacing w:after="20" w:line="240" w:lineRule="auto"/>
      </w:pPr>
      <w:r>
        <w:t>работники, бывшие работники, их близкие родственники и лица, указанные для экстренной связи;</w:t>
      </w:r>
    </w:p>
    <w:p>
      <w:pPr>
        <w:pStyle w:val="ListBullet"/>
        <w:widowControl/>
        <w:spacing w:after="20" w:line="240" w:lineRule="auto"/>
      </w:pPr>
      <w:r>
        <w:t>соискатели на вакантные должности;</w:t>
      </w:r>
    </w:p>
    <w:p>
      <w:pPr>
        <w:pStyle w:val="ListBullet"/>
        <w:widowControl/>
        <w:spacing w:after="20" w:line="240" w:lineRule="auto"/>
      </w:pPr>
      <w:r>
        <w:t>физические лица - исполнители по гражданско-правовым договорам;</w:t>
      </w:r>
    </w:p>
    <w:p>
      <w:pPr>
        <w:pStyle w:val="ListBullet"/>
        <w:widowControl/>
        <w:spacing w:after="20" w:line="240" w:lineRule="auto"/>
      </w:pPr>
      <w:r>
        <w:t>представители, работники и контактные лица контрагентов;</w:t>
      </w:r>
    </w:p>
    <w:p>
      <w:pPr>
        <w:pStyle w:val="ListBullet"/>
        <w:widowControl/>
        <w:spacing w:after="20" w:line="240" w:lineRule="auto"/>
      </w:pPr>
      <w:r>
        <w:t>авторы обращений, заявлений, жалоб и запросов;</w:t>
      </w:r>
    </w:p>
    <w:p>
      <w:pPr>
        <w:pStyle w:val="ListBullet"/>
        <w:widowControl/>
        <w:spacing w:after="20" w:line="240" w:lineRule="auto"/>
      </w:pPr>
      <w:r>
        <w:t>иные лица, данные которых обрабатываются на законном основании.</w:t>
      </w:r>
    </w:p>
    <w:p>
      <w:pPr>
        <w:pStyle w:val="Heading1"/>
        <w:keepNext/>
        <w:widowControl/>
      </w:pPr>
      <w:r>
        <w:t>6. Цели обработки, состав данных, основания и сроки</w:t>
      </w:r>
    </w:p>
    <w:p>
      <w:pPr>
        <w:widowControl/>
        <w:spacing w:after="60" w:line="252" w:lineRule="auto"/>
      </w:pPr>
      <w:r>
        <w:t>6.1. Оператор обрабатывает только те персональные данные, которые необходимы и достаточны для каждой конкретной цели. Основная матрица целей приведена ниже и в Приложении 1.</w:t>
      </w:r>
    </w:p>
    <w:tbl>
      <w:tblPr>
        <w:tblStyle w:val="TableGrid"/>
        <w:tblW w:type="auto" w:w="0"/>
        <w:jc w:val="center"/>
        <w:tblLook w:firstColumn="1" w:firstRow="1" w:lastColumn="0" w:lastRow="0" w:noHBand="0" w:noVBand="1" w:val="04A0"/>
      </w:tblPr>
      <w:tblGrid>
        <w:gridCol w:w="2507"/>
        <w:gridCol w:w="2507"/>
        <w:gridCol w:w="2507"/>
        <w:gridCol w:w="2507"/>
      </w:tblGrid>
      <w:tr>
        <w:trPr>
          <w:tblHeader w:val="true"/>
        </w:trPr>
        <w:tc>
          <w:tcPr>
            <w:tcW w:type="dxa" w:w="1984"/>
            <w:shd w:fill="D9EAF7"/>
            <w:vAlign w:val="center"/>
          </w:tcPr>
          <w:p>
            <w:r>
              <w:rPr>
                <w:b/>
                <w:sz w:val="15"/>
              </w:rPr>
              <w:t>Цель</w:t>
            </w:r>
          </w:p>
        </w:tc>
        <w:tc>
          <w:tcPr>
            <w:tcW w:type="dxa" w:w="2835"/>
            <w:shd w:fill="D9EAF7"/>
            <w:vAlign w:val="center"/>
          </w:tcPr>
          <w:p>
            <w:r>
              <w:rPr>
                <w:b/>
                <w:sz w:val="15"/>
              </w:rPr>
              <w:t>Основные данные</w:t>
            </w:r>
          </w:p>
        </w:tc>
        <w:tc>
          <w:tcPr>
            <w:tcW w:type="dxa" w:w="2268"/>
            <w:shd w:fill="D9EAF7"/>
            <w:vAlign w:val="center"/>
          </w:tcPr>
          <w:p>
            <w:r>
              <w:rPr>
                <w:b/>
                <w:sz w:val="15"/>
              </w:rPr>
              <w:t>Основание</w:t>
            </w:r>
          </w:p>
        </w:tc>
        <w:tc>
          <w:tcPr>
            <w:tcW w:type="dxa" w:w="2551"/>
            <w:shd w:fill="D9EAF7"/>
            <w:vAlign w:val="center"/>
          </w:tcPr>
          <w:p>
            <w:r>
              <w:rPr>
                <w:b/>
                <w:sz w:val="15"/>
              </w:rPr>
              <w:t>Срок/критерий</w:t>
            </w:r>
          </w:p>
        </w:tc>
      </w:tr>
      <w:tr>
        <w:tc>
          <w:tcPr>
            <w:tcW w:type="dxa" w:w="1984"/>
            <w:vAlign w:val="top"/>
          </w:tcPr>
          <w:p>
            <w:pPr>
              <w:spacing w:after="0" w:line="240" w:lineRule="auto"/>
            </w:pPr>
            <w:r>
              <w:rPr>
                <w:rFonts w:ascii="Times New Roman" w:hAnsi="Times New Roman"/>
                <w:sz w:val="15"/>
              </w:rPr>
              <w:t>Запись на прием и обратная связь</w:t>
            </w:r>
          </w:p>
        </w:tc>
        <w:tc>
          <w:tcPr>
            <w:tcW w:type="dxa" w:w="2835"/>
            <w:vAlign w:val="top"/>
          </w:tcPr>
          <w:p>
            <w:pPr>
              <w:spacing w:after="0" w:line="240" w:lineRule="auto"/>
            </w:pPr>
            <w:r>
              <w:rPr>
                <w:rFonts w:ascii="Times New Roman" w:hAnsi="Times New Roman"/>
                <w:sz w:val="15"/>
              </w:rPr>
              <w:t>ФИО, телефон, e-mail, желаемые дата/время, выбранный специалист, содержание обращения</w:t>
            </w:r>
          </w:p>
        </w:tc>
        <w:tc>
          <w:tcPr>
            <w:tcW w:type="dxa" w:w="2268"/>
            <w:vAlign w:val="top"/>
          </w:tcPr>
          <w:p>
            <w:pPr>
              <w:spacing w:after="0" w:line="240" w:lineRule="auto"/>
            </w:pPr>
            <w:r>
              <w:rPr>
                <w:rFonts w:ascii="Times New Roman" w:hAnsi="Times New Roman"/>
                <w:sz w:val="15"/>
              </w:rPr>
              <w:t>согласие; действия по инициативе субъекта до заключения договора</w:t>
            </w:r>
          </w:p>
        </w:tc>
        <w:tc>
          <w:tcPr>
            <w:tcW w:type="dxa" w:w="2551"/>
            <w:vAlign w:val="top"/>
          </w:tcPr>
          <w:p>
            <w:pPr>
              <w:spacing w:after="0" w:line="240" w:lineRule="auto"/>
            </w:pPr>
            <w:r>
              <w:rPr>
                <w:rFonts w:ascii="Times New Roman" w:hAnsi="Times New Roman"/>
                <w:sz w:val="15"/>
              </w:rPr>
              <w:t>до завершения обращения; далее - при заключении договора в составе медицинской документации или 3 года для подтверждения коммуникации</w:t>
            </w:r>
          </w:p>
        </w:tc>
      </w:tr>
      <w:tr>
        <w:tc>
          <w:tcPr>
            <w:tcW w:type="dxa" w:w="1984"/>
            <w:vAlign w:val="top"/>
          </w:tcPr>
          <w:p>
            <w:pPr>
              <w:spacing w:after="0" w:line="240" w:lineRule="auto"/>
            </w:pPr>
            <w:r>
              <w:rPr>
                <w:rFonts w:ascii="Times New Roman" w:hAnsi="Times New Roman"/>
                <w:sz w:val="15"/>
              </w:rPr>
              <w:t>Заключение и исполнение договора на платные медицинские услуги</w:t>
            </w:r>
          </w:p>
        </w:tc>
        <w:tc>
          <w:tcPr>
            <w:tcW w:type="dxa" w:w="2835"/>
            <w:vAlign w:val="top"/>
          </w:tcPr>
          <w:p>
            <w:pPr>
              <w:spacing w:after="0" w:line="240" w:lineRule="auto"/>
            </w:pPr>
            <w:r>
              <w:rPr>
                <w:rFonts w:ascii="Times New Roman" w:hAnsi="Times New Roman"/>
                <w:sz w:val="15"/>
              </w:rPr>
              <w:t>ФИО, дата рождения, пол, контакты, адрес, паспортные данные при необходимости, данные представителя, сведения об оплате</w:t>
            </w:r>
          </w:p>
        </w:tc>
        <w:tc>
          <w:tcPr>
            <w:tcW w:type="dxa" w:w="2268"/>
            <w:vAlign w:val="top"/>
          </w:tcPr>
          <w:p>
            <w:pPr>
              <w:spacing w:after="0" w:line="240" w:lineRule="auto"/>
            </w:pPr>
            <w:r>
              <w:rPr>
                <w:rFonts w:ascii="Times New Roman" w:hAnsi="Times New Roman"/>
                <w:sz w:val="15"/>
              </w:rPr>
              <w:t>договор; закон; согласие в предусмотренных случаях</w:t>
            </w:r>
          </w:p>
        </w:tc>
        <w:tc>
          <w:tcPr>
            <w:tcW w:type="dxa" w:w="2551"/>
            <w:vAlign w:val="top"/>
          </w:tcPr>
          <w:p>
            <w:pPr>
              <w:spacing w:after="0" w:line="240" w:lineRule="auto"/>
            </w:pPr>
            <w:r>
              <w:rPr>
                <w:rFonts w:ascii="Times New Roman" w:hAnsi="Times New Roman"/>
                <w:sz w:val="15"/>
              </w:rPr>
              <w:t>в течение действия договора и установленных законом сроков хранения документации</w:t>
            </w:r>
          </w:p>
        </w:tc>
      </w:tr>
      <w:tr>
        <w:tc>
          <w:tcPr>
            <w:tcW w:type="dxa" w:w="1984"/>
            <w:vAlign w:val="top"/>
          </w:tcPr>
          <w:p>
            <w:pPr>
              <w:spacing w:after="0" w:line="240" w:lineRule="auto"/>
            </w:pPr>
            <w:r>
              <w:rPr>
                <w:rFonts w:ascii="Times New Roman" w:hAnsi="Times New Roman"/>
                <w:sz w:val="15"/>
              </w:rPr>
              <w:t>Оказание медицинской помощи и ведение медицинской документации</w:t>
            </w:r>
          </w:p>
        </w:tc>
        <w:tc>
          <w:tcPr>
            <w:tcW w:type="dxa" w:w="2835"/>
            <w:vAlign w:val="top"/>
          </w:tcPr>
          <w:p>
            <w:pPr>
              <w:spacing w:after="0" w:line="240" w:lineRule="auto"/>
            </w:pPr>
            <w:r>
              <w:rPr>
                <w:rFonts w:ascii="Times New Roman" w:hAnsi="Times New Roman"/>
                <w:sz w:val="15"/>
              </w:rPr>
              <w:t>идентификационные данные, анамнез, жалобы, диагноз, результаты осмотров, исследований и лечения, назначения, сведения о состоянии здоровья</w:t>
            </w:r>
          </w:p>
        </w:tc>
        <w:tc>
          <w:tcPr>
            <w:tcW w:type="dxa" w:w="2268"/>
            <w:vAlign w:val="top"/>
          </w:tcPr>
          <w:p>
            <w:pPr>
              <w:spacing w:after="0" w:line="240" w:lineRule="auto"/>
            </w:pPr>
            <w:r>
              <w:rPr>
                <w:rFonts w:ascii="Times New Roman" w:hAnsi="Times New Roman"/>
                <w:sz w:val="15"/>
              </w:rPr>
              <w:t>закон; договор; специальные основания ст. 10 Закона № 152-ФЗ; письменное согласие, когда требуется</w:t>
            </w:r>
          </w:p>
        </w:tc>
        <w:tc>
          <w:tcPr>
            <w:tcW w:type="dxa" w:w="2551"/>
            <w:vAlign w:val="top"/>
          </w:tcPr>
          <w:p>
            <w:pPr>
              <w:spacing w:after="0" w:line="240" w:lineRule="auto"/>
            </w:pPr>
            <w:r>
              <w:rPr>
                <w:rFonts w:ascii="Times New Roman" w:hAnsi="Times New Roman"/>
                <w:sz w:val="15"/>
              </w:rPr>
              <w:t>в сроки, установленные законодательством о здравоохранении и архивном деле</w:t>
            </w:r>
          </w:p>
        </w:tc>
      </w:tr>
      <w:tr>
        <w:tc>
          <w:tcPr>
            <w:tcW w:type="dxa" w:w="1984"/>
            <w:vAlign w:val="top"/>
          </w:tcPr>
          <w:p>
            <w:pPr>
              <w:spacing w:after="0" w:line="240" w:lineRule="auto"/>
            </w:pPr>
            <w:r>
              <w:rPr>
                <w:rFonts w:ascii="Times New Roman" w:hAnsi="Times New Roman"/>
                <w:sz w:val="15"/>
              </w:rPr>
              <w:t>Лабораторные исследования</w:t>
            </w:r>
          </w:p>
        </w:tc>
        <w:tc>
          <w:tcPr>
            <w:tcW w:type="dxa" w:w="2835"/>
            <w:vAlign w:val="top"/>
          </w:tcPr>
          <w:p>
            <w:pPr>
              <w:spacing w:after="0" w:line="240" w:lineRule="auto"/>
            </w:pPr>
            <w:r>
              <w:rPr>
                <w:rFonts w:ascii="Times New Roman" w:hAnsi="Times New Roman"/>
                <w:sz w:val="15"/>
              </w:rPr>
              <w:t>ФИО, дата рождения, пол, номер заказа, биоматериал, медицинские показания, результаты</w:t>
            </w:r>
          </w:p>
        </w:tc>
        <w:tc>
          <w:tcPr>
            <w:tcW w:type="dxa" w:w="2268"/>
            <w:vAlign w:val="top"/>
          </w:tcPr>
          <w:p>
            <w:pPr>
              <w:spacing w:after="0" w:line="240" w:lineRule="auto"/>
            </w:pPr>
            <w:r>
              <w:rPr>
                <w:rFonts w:ascii="Times New Roman" w:hAnsi="Times New Roman"/>
                <w:sz w:val="15"/>
              </w:rPr>
              <w:t>договор; медицинское законодательство; согласие при необходимости</w:t>
            </w:r>
          </w:p>
        </w:tc>
        <w:tc>
          <w:tcPr>
            <w:tcW w:type="dxa" w:w="2551"/>
            <w:vAlign w:val="top"/>
          </w:tcPr>
          <w:p>
            <w:pPr>
              <w:spacing w:after="0" w:line="240" w:lineRule="auto"/>
            </w:pPr>
            <w:r>
              <w:rPr>
                <w:rFonts w:ascii="Times New Roman" w:hAnsi="Times New Roman"/>
                <w:sz w:val="15"/>
              </w:rPr>
              <w:t>по срокам медицинской документации и договора с лабораторией</w:t>
            </w:r>
          </w:p>
        </w:tc>
      </w:tr>
      <w:tr>
        <w:tc>
          <w:tcPr>
            <w:tcW w:type="dxa" w:w="1984"/>
            <w:vAlign w:val="top"/>
          </w:tcPr>
          <w:p>
            <w:pPr>
              <w:spacing w:after="0" w:line="240" w:lineRule="auto"/>
            </w:pPr>
            <w:r>
              <w:rPr>
                <w:rFonts w:ascii="Times New Roman" w:hAnsi="Times New Roman"/>
                <w:sz w:val="15"/>
              </w:rPr>
              <w:t>Расчеты и кассовые операции</w:t>
            </w:r>
          </w:p>
        </w:tc>
        <w:tc>
          <w:tcPr>
            <w:tcW w:type="dxa" w:w="2835"/>
            <w:vAlign w:val="top"/>
          </w:tcPr>
          <w:p>
            <w:pPr>
              <w:spacing w:after="0" w:line="240" w:lineRule="auto"/>
            </w:pPr>
            <w:r>
              <w:rPr>
                <w:rFonts w:ascii="Times New Roman" w:hAnsi="Times New Roman"/>
                <w:sz w:val="15"/>
              </w:rPr>
              <w:t>ФИО плательщика, телефон/e-mail для чека, сведения о платеже</w:t>
            </w:r>
          </w:p>
        </w:tc>
        <w:tc>
          <w:tcPr>
            <w:tcW w:type="dxa" w:w="2268"/>
            <w:vAlign w:val="top"/>
          </w:tcPr>
          <w:p>
            <w:pPr>
              <w:spacing w:after="0" w:line="240" w:lineRule="auto"/>
            </w:pPr>
            <w:r>
              <w:rPr>
                <w:rFonts w:ascii="Times New Roman" w:hAnsi="Times New Roman"/>
                <w:sz w:val="15"/>
              </w:rPr>
              <w:t>закон; договор</w:t>
            </w:r>
          </w:p>
        </w:tc>
        <w:tc>
          <w:tcPr>
            <w:tcW w:type="dxa" w:w="2551"/>
            <w:vAlign w:val="top"/>
          </w:tcPr>
          <w:p>
            <w:pPr>
              <w:spacing w:after="0" w:line="240" w:lineRule="auto"/>
            </w:pPr>
            <w:r>
              <w:rPr>
                <w:rFonts w:ascii="Times New Roman" w:hAnsi="Times New Roman"/>
                <w:sz w:val="15"/>
              </w:rPr>
              <w:t>не менее сроков, установленных налоговым и бухгалтерским законодательством</w:t>
            </w:r>
          </w:p>
        </w:tc>
      </w:tr>
      <w:tr>
        <w:tc>
          <w:tcPr>
            <w:tcW w:type="dxa" w:w="1984"/>
            <w:vAlign w:val="top"/>
          </w:tcPr>
          <w:p>
            <w:pPr>
              <w:spacing w:after="0" w:line="240" w:lineRule="auto"/>
            </w:pPr>
            <w:r>
              <w:rPr>
                <w:rFonts w:ascii="Times New Roman" w:hAnsi="Times New Roman"/>
                <w:sz w:val="15"/>
              </w:rPr>
              <w:t>Рассмотрение обращений и претензий</w:t>
            </w:r>
          </w:p>
        </w:tc>
        <w:tc>
          <w:tcPr>
            <w:tcW w:type="dxa" w:w="2835"/>
            <w:vAlign w:val="top"/>
          </w:tcPr>
          <w:p>
            <w:pPr>
              <w:spacing w:after="0" w:line="240" w:lineRule="auto"/>
            </w:pPr>
            <w:r>
              <w:rPr>
                <w:rFonts w:ascii="Times New Roman" w:hAnsi="Times New Roman"/>
                <w:sz w:val="15"/>
              </w:rPr>
              <w:t>ФИО, контакты, сведения об отношениях с клиникой, содержание обращения, приложенные документы</w:t>
            </w:r>
          </w:p>
        </w:tc>
        <w:tc>
          <w:tcPr>
            <w:tcW w:type="dxa" w:w="2268"/>
            <w:vAlign w:val="top"/>
          </w:tcPr>
          <w:p>
            <w:pPr>
              <w:spacing w:after="0" w:line="240" w:lineRule="auto"/>
            </w:pPr>
            <w:r>
              <w:rPr>
                <w:rFonts w:ascii="Times New Roman" w:hAnsi="Times New Roman"/>
                <w:sz w:val="15"/>
              </w:rPr>
              <w:t>закон; законный интерес; договор</w:t>
            </w:r>
          </w:p>
        </w:tc>
        <w:tc>
          <w:tcPr>
            <w:tcW w:type="dxa" w:w="2551"/>
            <w:vAlign w:val="top"/>
          </w:tcPr>
          <w:p>
            <w:pPr>
              <w:spacing w:after="0" w:line="240" w:lineRule="auto"/>
            </w:pPr>
            <w:r>
              <w:rPr>
                <w:rFonts w:ascii="Times New Roman" w:hAnsi="Times New Roman"/>
                <w:sz w:val="15"/>
              </w:rPr>
              <w:t>3 года после завершения рассмотрения, если иной срок не установлен законом</w:t>
            </w:r>
          </w:p>
        </w:tc>
      </w:tr>
      <w:tr>
        <w:tc>
          <w:tcPr>
            <w:tcW w:type="dxa" w:w="1984"/>
            <w:vAlign w:val="top"/>
          </w:tcPr>
          <w:p>
            <w:pPr>
              <w:spacing w:after="0" w:line="240" w:lineRule="auto"/>
            </w:pPr>
            <w:r>
              <w:rPr>
                <w:rFonts w:ascii="Times New Roman" w:hAnsi="Times New Roman"/>
                <w:sz w:val="15"/>
              </w:rPr>
              <w:t>Информационные сообщения о записи</w:t>
            </w:r>
          </w:p>
        </w:tc>
        <w:tc>
          <w:tcPr>
            <w:tcW w:type="dxa" w:w="2835"/>
            <w:vAlign w:val="top"/>
          </w:tcPr>
          <w:p>
            <w:pPr>
              <w:spacing w:after="0" w:line="240" w:lineRule="auto"/>
            </w:pPr>
            <w:r>
              <w:rPr>
                <w:rFonts w:ascii="Times New Roman" w:hAnsi="Times New Roman"/>
                <w:sz w:val="15"/>
              </w:rPr>
              <w:t>ФИО, телефон, e-mail, сведения о записи</w:t>
            </w:r>
          </w:p>
        </w:tc>
        <w:tc>
          <w:tcPr>
            <w:tcW w:type="dxa" w:w="2268"/>
            <w:vAlign w:val="top"/>
          </w:tcPr>
          <w:p>
            <w:pPr>
              <w:spacing w:after="0" w:line="240" w:lineRule="auto"/>
            </w:pPr>
            <w:r>
              <w:rPr>
                <w:rFonts w:ascii="Times New Roman" w:hAnsi="Times New Roman"/>
                <w:sz w:val="15"/>
              </w:rPr>
              <w:t>договор; законный интерес; согласие в необходимых случаях</w:t>
            </w:r>
          </w:p>
        </w:tc>
        <w:tc>
          <w:tcPr>
            <w:tcW w:type="dxa" w:w="2551"/>
            <w:vAlign w:val="top"/>
          </w:tcPr>
          <w:p>
            <w:pPr>
              <w:spacing w:after="0" w:line="240" w:lineRule="auto"/>
            </w:pPr>
            <w:r>
              <w:rPr>
                <w:rFonts w:ascii="Times New Roman" w:hAnsi="Times New Roman"/>
                <w:sz w:val="15"/>
              </w:rPr>
              <w:t>до исполнения записи и в течение срока, необходимого для подтверждения уведомления</w:t>
            </w:r>
          </w:p>
        </w:tc>
      </w:tr>
      <w:tr>
        <w:tc>
          <w:tcPr>
            <w:tcW w:type="dxa" w:w="1984"/>
            <w:vAlign w:val="top"/>
          </w:tcPr>
          <w:p>
            <w:pPr>
              <w:spacing w:after="0" w:line="240" w:lineRule="auto"/>
            </w:pPr>
            <w:r>
              <w:rPr>
                <w:rFonts w:ascii="Times New Roman" w:hAnsi="Times New Roman"/>
                <w:sz w:val="15"/>
              </w:rPr>
              <w:t>Реклама и маркетинговые рассылки</w:t>
            </w:r>
          </w:p>
        </w:tc>
        <w:tc>
          <w:tcPr>
            <w:tcW w:type="dxa" w:w="2835"/>
            <w:vAlign w:val="top"/>
          </w:tcPr>
          <w:p>
            <w:pPr>
              <w:spacing w:after="0" w:line="240" w:lineRule="auto"/>
            </w:pPr>
            <w:r>
              <w:rPr>
                <w:rFonts w:ascii="Times New Roman" w:hAnsi="Times New Roman"/>
                <w:sz w:val="15"/>
              </w:rPr>
              <w:t>ФИО, телефон, e-mail, предпочтительный канал связи</w:t>
            </w:r>
          </w:p>
        </w:tc>
        <w:tc>
          <w:tcPr>
            <w:tcW w:type="dxa" w:w="2268"/>
            <w:vAlign w:val="top"/>
          </w:tcPr>
          <w:p>
            <w:pPr>
              <w:spacing w:after="0" w:line="240" w:lineRule="auto"/>
            </w:pPr>
            <w:r>
              <w:rPr>
                <w:rFonts w:ascii="Times New Roman" w:hAnsi="Times New Roman"/>
                <w:sz w:val="15"/>
              </w:rPr>
              <w:t>отдельное предварительное согласие</w:t>
            </w:r>
          </w:p>
        </w:tc>
        <w:tc>
          <w:tcPr>
            <w:tcW w:type="dxa" w:w="2551"/>
            <w:vAlign w:val="top"/>
          </w:tcPr>
          <w:p>
            <w:pPr>
              <w:spacing w:after="0" w:line="240" w:lineRule="auto"/>
            </w:pPr>
            <w:r>
              <w:rPr>
                <w:rFonts w:ascii="Times New Roman" w:hAnsi="Times New Roman"/>
                <w:sz w:val="15"/>
              </w:rPr>
              <w:t>до отзыва согласия или достижения цели</w:t>
            </w:r>
          </w:p>
        </w:tc>
      </w:tr>
      <w:tr>
        <w:tc>
          <w:tcPr>
            <w:tcW w:type="dxa" w:w="1984"/>
            <w:vAlign w:val="top"/>
          </w:tcPr>
          <w:p>
            <w:pPr>
              <w:spacing w:after="0" w:line="240" w:lineRule="auto"/>
            </w:pPr>
            <w:r>
              <w:rPr>
                <w:rFonts w:ascii="Times New Roman" w:hAnsi="Times New Roman"/>
                <w:sz w:val="15"/>
              </w:rPr>
              <w:t>Работа сайта и информационная безопасность</w:t>
            </w:r>
          </w:p>
        </w:tc>
        <w:tc>
          <w:tcPr>
            <w:tcW w:type="dxa" w:w="2835"/>
            <w:vAlign w:val="top"/>
          </w:tcPr>
          <w:p>
            <w:pPr>
              <w:spacing w:after="0" w:line="240" w:lineRule="auto"/>
            </w:pPr>
            <w:r>
              <w:rPr>
                <w:rFonts w:ascii="Times New Roman" w:hAnsi="Times New Roman"/>
                <w:sz w:val="15"/>
              </w:rPr>
              <w:t>IP-адрес, технические журналы, сведения об устройстве и браузере, cookie</w:t>
            </w:r>
          </w:p>
        </w:tc>
        <w:tc>
          <w:tcPr>
            <w:tcW w:type="dxa" w:w="2268"/>
            <w:vAlign w:val="top"/>
          </w:tcPr>
          <w:p>
            <w:pPr>
              <w:spacing w:after="0" w:line="240" w:lineRule="auto"/>
            </w:pPr>
            <w:r>
              <w:rPr>
                <w:rFonts w:ascii="Times New Roman" w:hAnsi="Times New Roman"/>
                <w:sz w:val="15"/>
              </w:rPr>
              <w:t>согласие для необязательных cookie; законный интерес для строго необходимых технических данных</w:t>
            </w:r>
          </w:p>
        </w:tc>
        <w:tc>
          <w:tcPr>
            <w:tcW w:type="dxa" w:w="2551"/>
            <w:vAlign w:val="top"/>
          </w:tcPr>
          <w:p>
            <w:pPr>
              <w:spacing w:after="0" w:line="240" w:lineRule="auto"/>
            </w:pPr>
            <w:r>
              <w:rPr>
                <w:rFonts w:ascii="Times New Roman" w:hAnsi="Times New Roman"/>
                <w:sz w:val="15"/>
              </w:rPr>
              <w:t>обычно не более 12 месяцев, если иной срок не обусловлен безопасностью или настройками сервиса</w:t>
            </w:r>
          </w:p>
        </w:tc>
      </w:tr>
      <w:tr>
        <w:tc>
          <w:tcPr>
            <w:tcW w:type="dxa" w:w="1984"/>
            <w:vAlign w:val="top"/>
          </w:tcPr>
          <w:p>
            <w:pPr>
              <w:spacing w:after="0" w:line="240" w:lineRule="auto"/>
            </w:pPr>
            <w:r>
              <w:rPr>
                <w:rFonts w:ascii="Times New Roman" w:hAnsi="Times New Roman"/>
                <w:sz w:val="15"/>
              </w:rPr>
              <w:t>Трудовые отношения и кадровый учет</w:t>
            </w:r>
          </w:p>
        </w:tc>
        <w:tc>
          <w:tcPr>
            <w:tcW w:type="dxa" w:w="2835"/>
            <w:vAlign w:val="top"/>
          </w:tcPr>
          <w:p>
            <w:pPr>
              <w:spacing w:after="0" w:line="240" w:lineRule="auto"/>
            </w:pPr>
            <w:r>
              <w:rPr>
                <w:rFonts w:ascii="Times New Roman" w:hAnsi="Times New Roman"/>
                <w:sz w:val="15"/>
              </w:rPr>
              <w:t>данные, предусмотренные трудовым, налоговым, пенсионным и иным законодательством</w:t>
            </w:r>
          </w:p>
        </w:tc>
        <w:tc>
          <w:tcPr>
            <w:tcW w:type="dxa" w:w="2268"/>
            <w:vAlign w:val="top"/>
          </w:tcPr>
          <w:p>
            <w:pPr>
              <w:spacing w:after="0" w:line="240" w:lineRule="auto"/>
            </w:pPr>
            <w:r>
              <w:rPr>
                <w:rFonts w:ascii="Times New Roman" w:hAnsi="Times New Roman"/>
                <w:sz w:val="15"/>
              </w:rPr>
              <w:t>закон; трудовой договор</w:t>
            </w:r>
          </w:p>
        </w:tc>
        <w:tc>
          <w:tcPr>
            <w:tcW w:type="dxa" w:w="2551"/>
            <w:vAlign w:val="top"/>
          </w:tcPr>
          <w:p>
            <w:pPr>
              <w:spacing w:after="0" w:line="240" w:lineRule="auto"/>
            </w:pPr>
            <w:r>
              <w:rPr>
                <w:rFonts w:ascii="Times New Roman" w:hAnsi="Times New Roman"/>
                <w:sz w:val="15"/>
              </w:rPr>
              <w:t>по срокам кадрового и архивного хранения</w:t>
            </w:r>
          </w:p>
        </w:tc>
      </w:tr>
      <w:tr>
        <w:tc>
          <w:tcPr>
            <w:tcW w:type="dxa" w:w="1984"/>
            <w:vAlign w:val="top"/>
          </w:tcPr>
          <w:p>
            <w:pPr>
              <w:spacing w:after="0" w:line="240" w:lineRule="auto"/>
            </w:pPr>
            <w:r>
              <w:rPr>
                <w:rFonts w:ascii="Times New Roman" w:hAnsi="Times New Roman"/>
                <w:sz w:val="15"/>
              </w:rPr>
              <w:t>Подбор персонала</w:t>
            </w:r>
          </w:p>
        </w:tc>
        <w:tc>
          <w:tcPr>
            <w:tcW w:type="dxa" w:w="2835"/>
            <w:vAlign w:val="top"/>
          </w:tcPr>
          <w:p>
            <w:pPr>
              <w:spacing w:after="0" w:line="240" w:lineRule="auto"/>
            </w:pPr>
            <w:r>
              <w:rPr>
                <w:rFonts w:ascii="Times New Roman" w:hAnsi="Times New Roman"/>
                <w:sz w:val="15"/>
              </w:rPr>
              <w:t>ФИО, контакты, образование, опыт, резюме и иные предоставленные сведения</w:t>
            </w:r>
          </w:p>
        </w:tc>
        <w:tc>
          <w:tcPr>
            <w:tcW w:type="dxa" w:w="2268"/>
            <w:vAlign w:val="top"/>
          </w:tcPr>
          <w:p>
            <w:pPr>
              <w:spacing w:after="0" w:line="240" w:lineRule="auto"/>
            </w:pPr>
            <w:r>
              <w:rPr>
                <w:rFonts w:ascii="Times New Roman" w:hAnsi="Times New Roman"/>
                <w:sz w:val="15"/>
              </w:rPr>
              <w:t>согласие; действия до заключения договора</w:t>
            </w:r>
          </w:p>
        </w:tc>
        <w:tc>
          <w:tcPr>
            <w:tcW w:type="dxa" w:w="2551"/>
            <w:vAlign w:val="top"/>
          </w:tcPr>
          <w:p>
            <w:pPr>
              <w:spacing w:after="0" w:line="240" w:lineRule="auto"/>
            </w:pPr>
            <w:r>
              <w:rPr>
                <w:rFonts w:ascii="Times New Roman" w:hAnsi="Times New Roman"/>
                <w:sz w:val="15"/>
              </w:rPr>
              <w:t>до закрытия вакансии; для кадрового резерва - в пределах срока согласия</w:t>
            </w:r>
          </w:p>
        </w:tc>
      </w:tr>
      <w:tr>
        <w:tc>
          <w:tcPr>
            <w:tcW w:type="dxa" w:w="1984"/>
            <w:vAlign w:val="top"/>
          </w:tcPr>
          <w:p>
            <w:pPr>
              <w:spacing w:after="0" w:line="240" w:lineRule="auto"/>
            </w:pPr>
            <w:r>
              <w:rPr>
                <w:rFonts w:ascii="Times New Roman" w:hAnsi="Times New Roman"/>
                <w:sz w:val="15"/>
              </w:rPr>
              <w:t>Договорная работа с контрагентами</w:t>
            </w:r>
          </w:p>
        </w:tc>
        <w:tc>
          <w:tcPr>
            <w:tcW w:type="dxa" w:w="2835"/>
            <w:vAlign w:val="top"/>
          </w:tcPr>
          <w:p>
            <w:pPr>
              <w:spacing w:after="0" w:line="240" w:lineRule="auto"/>
            </w:pPr>
            <w:r>
              <w:rPr>
                <w:rFonts w:ascii="Times New Roman" w:hAnsi="Times New Roman"/>
                <w:sz w:val="15"/>
              </w:rPr>
              <w:t>ФИО, должность, контакты, доверенность, подпись, реквизиты</w:t>
            </w:r>
          </w:p>
        </w:tc>
        <w:tc>
          <w:tcPr>
            <w:tcW w:type="dxa" w:w="2268"/>
            <w:vAlign w:val="top"/>
          </w:tcPr>
          <w:p>
            <w:pPr>
              <w:spacing w:after="0" w:line="240" w:lineRule="auto"/>
            </w:pPr>
            <w:r>
              <w:rPr>
                <w:rFonts w:ascii="Times New Roman" w:hAnsi="Times New Roman"/>
                <w:sz w:val="15"/>
              </w:rPr>
              <w:t>договор; законный интерес; закон</w:t>
            </w:r>
          </w:p>
        </w:tc>
        <w:tc>
          <w:tcPr>
            <w:tcW w:type="dxa" w:w="2551"/>
            <w:vAlign w:val="top"/>
          </w:tcPr>
          <w:p>
            <w:pPr>
              <w:spacing w:after="0" w:line="240" w:lineRule="auto"/>
            </w:pPr>
            <w:r>
              <w:rPr>
                <w:rFonts w:ascii="Times New Roman" w:hAnsi="Times New Roman"/>
                <w:sz w:val="15"/>
              </w:rPr>
              <w:t>срок договора плюс сроки исковой давности и обязательного хранения</w:t>
            </w:r>
          </w:p>
        </w:tc>
      </w:tr>
    </w:tbl>
    <w:p>
      <w:pPr>
        <w:widowControl/>
        <w:spacing w:after="20"/>
      </w:pPr>
    </w:p>
    <w:p>
      <w:pPr>
        <w:widowControl/>
        <w:spacing w:after="60" w:line="252" w:lineRule="auto"/>
      </w:pPr>
      <w:r>
        <w:t>6.2. Конкретные сроки хранения медицинских документов определяются номенклатурой дел Оператора, применимыми нормативными актами и видом документа. Оператор не устанавливает произвольное бессрочное хранение данных.</w:t>
      </w:r>
    </w:p>
    <w:p>
      <w:pPr>
        <w:pStyle w:val="Heading1"/>
        <w:keepNext/>
        <w:widowControl/>
      </w:pPr>
      <w:r>
        <w:t>7. Специальные категории персональных данных и врачебная тайна</w:t>
      </w:r>
    </w:p>
    <w:p>
      <w:pPr>
        <w:widowControl/>
        <w:spacing w:after="60" w:line="252" w:lineRule="auto"/>
      </w:pPr>
      <w:r>
        <w:t>7.1. Сведения о состоянии здоровья относятся к специальным категориям персональных данных и одновременно могут составлять врачебную тайну.</w:t>
      </w:r>
    </w:p>
    <w:p>
      <w:pPr>
        <w:widowControl/>
        <w:spacing w:after="60" w:line="252" w:lineRule="auto"/>
      </w:pPr>
      <w:r>
        <w:t>7.2. Доступ к таким сведениям предоставляется только работникам, которым он необходим для выполнения должностных обязанностей, а также иным лицам в случаях и порядке, установленных законом.</w:t>
      </w:r>
    </w:p>
    <w:p>
      <w:pPr>
        <w:widowControl/>
        <w:spacing w:after="60" w:line="252" w:lineRule="auto"/>
      </w:pPr>
      <w:r>
        <w:t>7.3. Передача сведений, составляющих врачебную тайну, без согласия пациента допускается исключительно в случаях, прямо предусмотренных законодательством Российской Федерации.</w:t>
      </w:r>
    </w:p>
    <w:p>
      <w:pPr>
        <w:widowControl/>
        <w:spacing w:after="60" w:line="252" w:lineRule="auto"/>
      </w:pPr>
      <w:r>
        <w:t>7.4. Работники и иные лица, допущенные к медицинской информации, обязаны соблюдать конфиденциальность и несут ответственность за ее нарушение.</w:t>
      </w:r>
    </w:p>
    <w:p>
      <w:pPr>
        <w:widowControl/>
        <w:spacing w:after="60" w:line="252" w:lineRule="auto"/>
      </w:pPr>
      <w:r>
        <w:t>7.5. Оператор не размещает сведения о диагнозах, результатах лечения и иную медицинскую информацию в открытом доступе без отдельного законного основания и, когда требуется, отдельного письменного согласия пациента.</w:t>
      </w:r>
    </w:p>
    <w:p>
      <w:pPr>
        <w:widowControl/>
        <w:spacing w:after="60" w:line="252" w:lineRule="auto"/>
      </w:pPr>
      <w:r>
        <w:t>7.6. Фото- и видеоматериалы пациента не признаются автоматически биометрическими персональными данными. Если они используются для установления личности, Оператор применяет требования к биометрическим данным и получает необходимое письменное согласие.</w:t>
      </w:r>
    </w:p>
    <w:p>
      <w:pPr>
        <w:pStyle w:val="Heading1"/>
        <w:keepNext/>
        <w:widowControl/>
      </w:pPr>
      <w:r>
        <w:t>8. Порядок и условия обработки персональных данных</w:t>
      </w:r>
    </w:p>
    <w:p>
      <w:pPr>
        <w:widowControl/>
        <w:spacing w:after="60" w:line="252" w:lineRule="auto"/>
      </w:pPr>
      <w:r>
        <w:t>8.1. Обработка осуществляется путем смешанной обработки - с использованием средств автоматизации и без использования таких средств.</w:t>
      </w:r>
    </w:p>
    <w:p>
      <w:pPr>
        <w:widowControl/>
        <w:spacing w:after="60" w:line="252" w:lineRule="auto"/>
      </w:pPr>
      <w:r>
        <w:t>8.2. Операции включают сбор, запись, систематизацию, накопление, хранение, уточнение, извлечение, использование, передачу в предусмотренных законом случаях, обезличивание, блокирование, удаление и уничтожение.</w:t>
      </w:r>
    </w:p>
    <w:p>
      <w:pPr>
        <w:widowControl/>
        <w:spacing w:after="60" w:line="252" w:lineRule="auto"/>
      </w:pPr>
      <w:r>
        <w:t>8.3. Персональные данные могут быть получены непосредственно от субъекта, его законного представителя, медицинской организации или лаборатории, а также из государственных информационных систем и иных законных источников.</w:t>
      </w:r>
    </w:p>
    <w:p>
      <w:pPr>
        <w:widowControl/>
        <w:spacing w:after="60" w:line="252" w:lineRule="auto"/>
      </w:pPr>
      <w:r>
        <w:t>8.4. При получении данных не от субъекта Оператор до начала обработки сообщает субъекту сведения, предусмотренные законом, кроме случаев, когда такое информирование не требуется.</w:t>
      </w:r>
    </w:p>
    <w:p>
      <w:pPr>
        <w:widowControl/>
        <w:spacing w:after="60" w:line="252" w:lineRule="auto"/>
      </w:pPr>
      <w:r>
        <w:t>8.5. Доступ предоставляется по ролевому принципу и в объеме, необходимом для выполнения трудовых функций.</w:t>
      </w:r>
    </w:p>
    <w:p>
      <w:pPr>
        <w:widowControl/>
        <w:spacing w:after="60" w:line="252" w:lineRule="auto"/>
      </w:pPr>
      <w:r>
        <w:t>8.6. Оператор не продает персональные данные и не обменивает их на имущественную выгоду.</w:t>
      </w:r>
    </w:p>
    <w:p>
      <w:pPr>
        <w:widowControl/>
        <w:spacing w:after="60" w:line="252" w:lineRule="auto"/>
      </w:pPr>
      <w:r>
        <w:t>8.7. Решения, порождающие юридические последствия или иным образом затрагивающие права субъекта, не принимаются исключительно на основании автоматизированной обработки без соблюдения требований закона.</w:t>
      </w:r>
    </w:p>
    <w:p>
      <w:pPr>
        <w:widowControl/>
        <w:spacing w:after="60" w:line="252" w:lineRule="auto"/>
      </w:pPr>
      <w:r>
        <w:t>8.8. Обработка данных несовершеннолетних осуществляется с учетом их возраста, дееспособности и полномочий законного представителя.</w:t>
      </w:r>
    </w:p>
    <w:p>
      <w:pPr>
        <w:pStyle w:val="Heading1"/>
        <w:keepNext/>
        <w:widowControl/>
      </w:pPr>
      <w:r>
        <w:t>9. Обработка данных на сайте, cookie и веб-аналитика</w:t>
      </w:r>
    </w:p>
    <w:p>
      <w:pPr>
        <w:widowControl/>
        <w:spacing w:after="60" w:line="252" w:lineRule="auto"/>
      </w:pPr>
      <w:r>
        <w:t>9.1. Через сайт могут обрабатываться данные, предоставленные пользователем в формах записи, заказа обратного звонка, направления обращения и иных интерактивных формах.</w:t>
      </w:r>
    </w:p>
    <w:p>
      <w:pPr>
        <w:widowControl/>
        <w:spacing w:after="60" w:line="252" w:lineRule="auto"/>
      </w:pPr>
      <w:r>
        <w:t>9.2. Под каждой формой, связанной со сбором персональных данных, размещается ссылка на Политику и отдельное действие для выражения согласия, если согласие является правовым основанием обработки.</w:t>
      </w:r>
    </w:p>
    <w:p>
      <w:pPr>
        <w:widowControl/>
        <w:spacing w:after="60" w:line="252" w:lineRule="auto"/>
      </w:pPr>
      <w:r>
        <w:t>9.3. Поля формы должны соответствовать заявленной цели и не запрашивать избыточные сведения. Медицинскую информацию рекомендуется передавать через защищенные каналы или непосредственно клинике, а не через общедоступную форму.</w:t>
      </w:r>
    </w:p>
    <w:p>
      <w:pPr>
        <w:widowControl/>
        <w:spacing w:after="60" w:line="252" w:lineRule="auto"/>
      </w:pPr>
      <w:r>
        <w:t>9.4. Строго необходимые cookie используются для работы сайта, безопасности, сохранения пользовательских настроек и корректной отправки форм. Необязательные аналитические и маркетинговые cookie применяются после получения согласия пользователя, если законодательство требует такого согласия.</w:t>
      </w:r>
    </w:p>
    <w:p>
      <w:pPr>
        <w:widowControl/>
        <w:spacing w:after="60" w:line="252" w:lineRule="auto"/>
      </w:pPr>
      <w:r>
        <w:t>9.5. На сайте может применяться сервис «Яндекс Метрика». До получения согласия пользователя загрузка необязательных аналитических идентификаторов должна быть заблокирована техническими средствами баннера cookie, за исключением случаев, когда конкретная конфигурация не предполагает обработку, требующую согласия.</w:t>
      </w:r>
    </w:p>
    <w:p>
      <w:pPr>
        <w:widowControl/>
        <w:spacing w:after="60" w:line="252" w:lineRule="auto"/>
      </w:pPr>
      <w:r>
        <w:t>9.6. Пользователь может изменить выбор cookie через настройки баннера или браузера. Отключение строго необходимых cookie может ограничить функциональность сайта.</w:t>
      </w:r>
    </w:p>
    <w:p>
      <w:pPr>
        <w:widowControl/>
        <w:spacing w:after="60" w:line="252" w:lineRule="auto"/>
      </w:pPr>
      <w:r>
        <w:t>9.7. Технические журналы сервера могут содержать IP-адрес, дату и время запроса, адрес страницы, тип браузера и устройства, код ответа и иные сведения, необходимые для информационной безопасности.</w:t>
      </w:r>
    </w:p>
    <w:p>
      <w:pPr>
        <w:widowControl/>
        <w:spacing w:after="60" w:line="252" w:lineRule="auto"/>
      </w:pPr>
      <w:r>
        <w:t>9.8. Оператор принимает меры к тому, чтобы формы сайта и подключенные сервисы соответствовали требованиям локализации баз данных на территории Российской Федерации.</w:t>
      </w:r>
    </w:p>
    <w:p>
      <w:pPr>
        <w:widowControl/>
        <w:spacing w:after="60" w:line="252" w:lineRule="auto"/>
      </w:pPr>
      <w:r>
        <w:t>9.9. Сайт может содержать ссылки на внешние ресурсы. Оператор не отвечает за политику обработки данных таких ресурсов, если не определяет цели и способы обработки на них.</w:t>
      </w:r>
    </w:p>
    <w:p>
      <w:pPr>
        <w:pStyle w:val="Heading1"/>
        <w:keepNext/>
        <w:widowControl/>
      </w:pPr>
      <w:r>
        <w:t>10. Обработка данных в МИС «МедЛок» и сервисе «МедТочка»</w:t>
      </w:r>
    </w:p>
    <w:p>
      <w:pPr>
        <w:widowControl/>
        <w:spacing w:after="60" w:line="252" w:lineRule="auto"/>
      </w:pPr>
      <w:r>
        <w:t>10.1. Для организации медицинской деятельности Оператор использует медицинскую информационную систему «МедЛок». В ней могут обрабатываться сведения о пациентах, записях, договорах, медицинских услугах, медицинской документации, назначениях, результатах исследований, расчетах и коммуникациях.</w:t>
      </w:r>
    </w:p>
    <w:p>
      <w:pPr>
        <w:widowControl/>
        <w:spacing w:after="60" w:line="252" w:lineRule="auto"/>
      </w:pPr>
      <w:r>
        <w:t>10.2. Доступ к МИС предоставляется уполномоченным работникам по индивидуальным учетным записям. Права доступа должны соответствовать должностным обязанностям. Оператор применяет парольную политику, журналирование действий и иные доступные средства защиты.</w:t>
      </w:r>
    </w:p>
    <w:p>
      <w:pPr>
        <w:widowControl/>
        <w:spacing w:after="60" w:line="252" w:lineRule="auto"/>
      </w:pPr>
      <w:r>
        <w:t>10.3. Поставщик МИС обрабатывает персональные данные по поручению Оператора на основании договора, содержащего обязательные условия, предусмотренные законодательством: перечень данных, операции, цели, обязанность соблюдать конфиденциальность, требования к защите и подтверждению принятых мер.</w:t>
      </w:r>
    </w:p>
    <w:p>
      <w:pPr>
        <w:widowControl/>
        <w:spacing w:after="60" w:line="252" w:lineRule="auto"/>
      </w:pPr>
      <w:r>
        <w:t>10.4. Сервис «МедТочка» используется при наличии подключенного функционала для взаимодействия с пациентами, записи, уведомлений или предоставления доступа к медицинской информации. Объем данных ограничивается функциональной необходимостью.</w:t>
      </w:r>
    </w:p>
    <w:p>
      <w:pPr>
        <w:widowControl/>
        <w:spacing w:after="60" w:line="252" w:lineRule="auto"/>
      </w:pPr>
      <w:r>
        <w:t>10.5. Перед включением нового модуля или интеграции Оператор оценивает цели, состав данных, местонахождение баз, получателей, сроки хранения и риски для субъектов, а также при необходимости актуализирует уведомление Роскомнадзора и настоящую Политику.</w:t>
      </w:r>
    </w:p>
    <w:p>
      <w:pPr>
        <w:widowControl/>
        <w:spacing w:after="60" w:line="252" w:lineRule="auto"/>
      </w:pPr>
      <w:r>
        <w:t>10.6. Договоры с поставщиками информационных систем должны предусматривать обязанность уведомлять Оператора об инцидентах и содействовать исполнению запросов субъектов и требований уполномоченного органа.</w:t>
      </w:r>
    </w:p>
    <w:p>
      <w:pPr>
        <w:pStyle w:val="Heading1"/>
        <w:keepNext/>
        <w:widowControl/>
      </w:pPr>
      <w:r>
        <w:t>11. Передача данных лабораториям и иным лицам</w:t>
      </w:r>
    </w:p>
    <w:p>
      <w:pPr>
        <w:widowControl/>
        <w:spacing w:after="60" w:line="252" w:lineRule="auto"/>
      </w:pPr>
      <w:r>
        <w:t>11.1. Персональные данные могут предоставляться следующим категориям получателей в объеме, необходимом для конкретной цели:</w:t>
      </w:r>
    </w:p>
    <w:p>
      <w:pPr>
        <w:pStyle w:val="ListBullet"/>
        <w:widowControl/>
        <w:spacing w:after="20" w:line="240" w:lineRule="auto"/>
      </w:pPr>
      <w:r>
        <w:t>медицинским лабораториям - для выполнения назначенных исследований и передачи результатов;</w:t>
      </w:r>
    </w:p>
    <w:p>
      <w:pPr>
        <w:pStyle w:val="ListBullet"/>
        <w:widowControl/>
        <w:spacing w:after="20" w:line="240" w:lineRule="auto"/>
      </w:pPr>
      <w:r>
        <w:t>поставщикам МИС, сервисов записи и коммуникации - по поручению Оператора;</w:t>
      </w:r>
    </w:p>
    <w:p>
      <w:pPr>
        <w:pStyle w:val="ListBullet"/>
        <w:widowControl/>
        <w:spacing w:after="20" w:line="240" w:lineRule="auto"/>
      </w:pPr>
      <w:r>
        <w:t>операторам связи и сервисам электронных сообщений - для доставки подтверждений и уведомлений;</w:t>
      </w:r>
    </w:p>
    <w:p>
      <w:pPr>
        <w:pStyle w:val="ListBullet"/>
        <w:widowControl/>
        <w:spacing w:after="20" w:line="240" w:lineRule="auto"/>
      </w:pPr>
      <w:r>
        <w:t>банкам, платежным сервисам, операторам фискальных данных - для расчетов и исполнения законодательства;</w:t>
      </w:r>
    </w:p>
    <w:p>
      <w:pPr>
        <w:pStyle w:val="ListBullet"/>
        <w:widowControl/>
        <w:spacing w:after="20" w:line="240" w:lineRule="auto"/>
      </w:pPr>
      <w:r>
        <w:t>страховым организациям и иным плательщикам - только при наличии законного основания (при этом клиника не оказывает услуги по ОМС и ДМС, если иное не будет официально внедрено);</w:t>
      </w:r>
    </w:p>
    <w:p>
      <w:pPr>
        <w:pStyle w:val="ListBullet"/>
        <w:widowControl/>
        <w:spacing w:after="20" w:line="240" w:lineRule="auto"/>
      </w:pPr>
      <w:r>
        <w:t>государственным органам, судам, правоохранительным органам и надзорным органам - в случаях и пределах, установленных законом;</w:t>
      </w:r>
    </w:p>
    <w:p>
      <w:pPr>
        <w:pStyle w:val="ListBullet"/>
        <w:widowControl/>
        <w:spacing w:after="20" w:line="240" w:lineRule="auto"/>
      </w:pPr>
      <w:r>
        <w:t>архивным, курьерским, ИТ- и иным подрядчикам - по договору и при соблюдении требований к поручению обработки.</w:t>
      </w:r>
    </w:p>
    <w:p>
      <w:pPr>
        <w:widowControl/>
        <w:spacing w:after="60" w:line="252" w:lineRule="auto"/>
      </w:pPr>
      <w:r>
        <w:t>11.2. Передача осуществляется по защищенным каналам, через интеграции информационных систем либо на материальных носителях с соблюдением мер безопасности.</w:t>
      </w:r>
    </w:p>
    <w:p>
      <w:pPr>
        <w:widowControl/>
        <w:spacing w:after="60" w:line="252" w:lineRule="auto"/>
      </w:pPr>
      <w:r>
        <w:t>11.3. Получателю передается минимально необходимый набор данных. Не допускается передача данных «на всякий случай» или для несовместимых целей.</w:t>
      </w:r>
    </w:p>
    <w:p>
      <w:pPr>
        <w:widowControl/>
        <w:spacing w:after="60" w:line="252" w:lineRule="auto"/>
      </w:pPr>
      <w:r>
        <w:t>11.4. При поручении обработки Оператор остается ответственным перед субъектом за действия обработчика в пределах, предусмотренных законом.</w:t>
      </w:r>
    </w:p>
    <w:p>
      <w:pPr>
        <w:widowControl/>
        <w:spacing w:after="60" w:line="252" w:lineRule="auto"/>
      </w:pPr>
      <w:r>
        <w:t>11.5. Распространение данных неопределенному кругу лиц, включая публикацию отзывов, фотографий и сведений о лечении, осуществляется только при наличии отдельного согласия на распространение либо иного законного основания.</w:t>
      </w:r>
    </w:p>
    <w:p>
      <w:pPr>
        <w:pStyle w:val="Heading1"/>
        <w:keepNext/>
        <w:widowControl/>
      </w:pPr>
      <w:r>
        <w:t>12. Локализация и трансграничная передача</w:t>
      </w:r>
    </w:p>
    <w:p>
      <w:pPr>
        <w:widowControl/>
        <w:spacing w:after="60" w:line="252" w:lineRule="auto"/>
      </w:pPr>
      <w:r>
        <w:t>12.1. При сборе персональных данных граждан Российской Федерации, в том числе через Интернет, Оператор обеспечивает запись, систематизацию, накопление, хранение, уточнение и извлечение с использованием баз данных, находящихся на территории Российской Федерации, кроме предусмотренных законом исключений.</w:t>
      </w:r>
    </w:p>
    <w:p>
      <w:pPr>
        <w:widowControl/>
        <w:spacing w:after="60" w:line="252" w:lineRule="auto"/>
      </w:pPr>
      <w:r>
        <w:t>12.2. На дату утверждения настоящей редакции Оператор не планирует трансграничную передачу персональных данных в рамках основных процессов сайта и оказания медицинских услуг.</w:t>
      </w:r>
    </w:p>
    <w:p>
      <w:pPr>
        <w:widowControl/>
        <w:spacing w:after="60" w:line="252" w:lineRule="auto"/>
      </w:pPr>
      <w:r>
        <w:t>12.3. До начала трансграничной передачи Оператор выполняет предусмотренные законом процедуры, включая оценку принимающей стороны и направление отдельного уведомления в Роскомнадзор, когда это требуется.</w:t>
      </w:r>
    </w:p>
    <w:p>
      <w:pPr>
        <w:widowControl/>
        <w:spacing w:after="60" w:line="252" w:lineRule="auto"/>
      </w:pPr>
      <w:r>
        <w:t>12.4. Подключение иностранного облачного, аналитического, коммуникационного или иного сервиса допускается только после правовой и технической оценки, проверки локализации и выполнения требований к трансграничной передаче.</w:t>
      </w:r>
    </w:p>
    <w:p>
      <w:pPr>
        <w:pStyle w:val="Heading1"/>
        <w:keepNext/>
        <w:widowControl/>
      </w:pPr>
      <w:r>
        <w:t>13. Сроки хранения, блокирование и уничтожение</w:t>
      </w:r>
    </w:p>
    <w:p>
      <w:pPr>
        <w:widowControl/>
        <w:spacing w:after="60" w:line="252" w:lineRule="auto"/>
      </w:pPr>
      <w:r>
        <w:t>13.1. Персональные данные хранятся в форме, позволяющей определить субъекта, не дольше, чем этого требуют цели обработки, если срок не установлен законом или договором.</w:t>
      </w:r>
    </w:p>
    <w:p>
      <w:pPr>
        <w:widowControl/>
        <w:spacing w:after="60" w:line="252" w:lineRule="auto"/>
      </w:pPr>
      <w:r>
        <w:t>13.2. При достижении цели, отзыве согласия или поступлении требования о прекращении обработки Оператор прекращает обработку и уничтожает данные в сроки, предусмотренные законом, если отсутствуют иные основания для продолжения обработки.</w:t>
      </w:r>
    </w:p>
    <w:p>
      <w:pPr>
        <w:widowControl/>
        <w:spacing w:after="60" w:line="252" w:lineRule="auto"/>
      </w:pPr>
      <w:r>
        <w:t>13.3. Если немедленное уничтожение невозможно, данные блокируются, а уничтожение производится в установленный законом срок.</w:t>
      </w:r>
    </w:p>
    <w:p>
      <w:pPr>
        <w:widowControl/>
        <w:spacing w:after="60" w:line="252" w:lineRule="auto"/>
      </w:pPr>
      <w:r>
        <w:t>13.4. Уничтожение электронных данных осуществляется удалением из информационных систем и резервных копий в рамках жизненного цикла резервного копирования либо иным способом, исключающим восстановление. Бумажные носители уничтожаются шредированием или через специализированную организацию.</w:t>
      </w:r>
    </w:p>
    <w:p>
      <w:pPr>
        <w:widowControl/>
        <w:spacing w:after="60" w:line="252" w:lineRule="auto"/>
      </w:pPr>
      <w:r>
        <w:t>13.5. Факт уничтожения подтверждается актом и выгрузкой из журнала регистрации событий в случаях и составе, предусмотренных требованиями Роскомнадзора.</w:t>
      </w:r>
    </w:p>
    <w:p>
      <w:pPr>
        <w:widowControl/>
        <w:spacing w:after="60" w:line="252" w:lineRule="auto"/>
      </w:pPr>
      <w:r>
        <w:t>13.6. Медицинская документация не уничтожается только на основании отзыва согласия, если ее хранение обязательно по закону.</w:t>
      </w:r>
    </w:p>
    <w:p>
      <w:pPr>
        <w:widowControl/>
        <w:spacing w:after="60" w:line="252" w:lineRule="auto"/>
      </w:pPr>
      <w:r>
        <w:t>13.7. Резервные копии защищаются и используются исключительно для восстановления. Данные в резервных копиях удаляются или перезаписываются по утвержденному циклу.</w:t>
      </w:r>
    </w:p>
    <w:p>
      <w:pPr>
        <w:pStyle w:val="Heading1"/>
        <w:keepNext/>
        <w:widowControl/>
      </w:pPr>
      <w:r>
        <w:t>14. Права субъектов персональных данных</w:t>
      </w:r>
    </w:p>
    <w:p>
      <w:pPr>
        <w:widowControl/>
        <w:spacing w:after="60" w:line="252" w:lineRule="auto"/>
      </w:pPr>
      <w:r>
        <w:t>Субъект персональных данных вправе:</w:t>
      </w:r>
    </w:p>
    <w:p>
      <w:pPr>
        <w:pStyle w:val="ListBullet"/>
        <w:widowControl/>
        <w:spacing w:after="20" w:line="240" w:lineRule="auto"/>
      </w:pPr>
      <w:r>
        <w:t>получать сведения об обработке его персональных данных в объеме, предусмотренном законом;</w:t>
      </w:r>
    </w:p>
    <w:p>
      <w:pPr>
        <w:pStyle w:val="ListBullet"/>
        <w:widowControl/>
        <w:spacing w:after="20" w:line="240" w:lineRule="auto"/>
      </w:pPr>
      <w:r>
        <w:t>требовать уточнения, блокирования или уничтожения данных, если они неполные, устаревшие, неточные, незаконно полученные или не нужны для заявленной цели;</w:t>
      </w:r>
    </w:p>
    <w:p>
      <w:pPr>
        <w:pStyle w:val="ListBullet"/>
        <w:widowControl/>
        <w:spacing w:after="20" w:line="240" w:lineRule="auto"/>
      </w:pPr>
      <w:r>
        <w:t>отозвать согласие и требовать прекращения обработки, учитывая право Оператора продолжить обработку при наличии иного законного основания;</w:t>
      </w:r>
    </w:p>
    <w:p>
      <w:pPr>
        <w:pStyle w:val="ListBullet"/>
        <w:widowControl/>
        <w:spacing w:after="20" w:line="240" w:lineRule="auto"/>
      </w:pPr>
      <w:r>
        <w:t>возражать против обработки в целях продвижения услуг и в любой момент отказаться от рекламных сообщений;</w:t>
      </w:r>
    </w:p>
    <w:p>
      <w:pPr>
        <w:pStyle w:val="ListBullet"/>
        <w:widowControl/>
        <w:spacing w:after="20" w:line="240" w:lineRule="auto"/>
      </w:pPr>
      <w:r>
        <w:t>обжаловать действия или бездействие Оператора в Роскомнадзор или суд;</w:t>
      </w:r>
    </w:p>
    <w:p>
      <w:pPr>
        <w:pStyle w:val="ListBullet"/>
        <w:widowControl/>
        <w:spacing w:after="20" w:line="240" w:lineRule="auto"/>
      </w:pPr>
      <w:r>
        <w:t>требовать возмещения убытков и компенсации морального вреда в предусмотренных законом случаях;</w:t>
      </w:r>
    </w:p>
    <w:p>
      <w:pPr>
        <w:pStyle w:val="ListBullet"/>
        <w:widowControl/>
        <w:spacing w:after="20" w:line="240" w:lineRule="auto"/>
      </w:pPr>
      <w:r>
        <w:t>получить разъяснение юридических последствий отказа предоставить данные, когда их предоставление обязательно.</w:t>
      </w:r>
    </w:p>
    <w:p>
      <w:pPr>
        <w:pStyle w:val="Heading1"/>
        <w:keepNext/>
        <w:widowControl/>
      </w:pPr>
      <w:r>
        <w:t>15. Порядок рассмотрения обращений</w:t>
      </w:r>
    </w:p>
    <w:p>
      <w:pPr>
        <w:widowControl/>
        <w:spacing w:after="60" w:line="252" w:lineRule="auto"/>
      </w:pPr>
      <w:r>
        <w:t>15.1. Обращение может быть направлено по адресу: 420104, Республика Татарстан, г. Казань, проезд Яраткан, д. 5, помещ. 1003, либо на электронную почту akyar.med@mail.ru.</w:t>
      </w:r>
    </w:p>
    <w:p>
      <w:pPr>
        <w:widowControl/>
        <w:spacing w:after="60" w:line="252" w:lineRule="auto"/>
      </w:pPr>
      <w:r>
        <w:t>15.2. Запрос должен содержать сведения, позволяющие идентифицировать заявителя и подтвердить его участие в отношениях с Оператором: ФИО, контактные данные, сведения о договоре, записи или обращении, а также подпись. Оператор вправе запросить дополнительное подтверждение личности, не собирая избыточные данные.</w:t>
      </w:r>
    </w:p>
    <w:p>
      <w:pPr>
        <w:widowControl/>
        <w:spacing w:after="60" w:line="252" w:lineRule="auto"/>
      </w:pPr>
      <w:r>
        <w:t>15.3. Электронный запрос может быть направлен в форме электронного документа, подписанного электронной подписью, если закон требует такой формы. Оператор также вправе принять обращение через иной надежный канал после идентификации заявителя.</w:t>
      </w:r>
    </w:p>
    <w:p>
      <w:pPr>
        <w:widowControl/>
        <w:spacing w:after="60" w:line="252" w:lineRule="auto"/>
      </w:pPr>
      <w:r>
        <w:t>15.4. Ответ предоставляется в срок, установленный законодательством. Если для ответа требуется дополнительная проверка, срок может быть продлен в предусмотренном законом порядке с направлением мотивированного уведомления.</w:t>
      </w:r>
    </w:p>
    <w:p>
      <w:pPr>
        <w:widowControl/>
        <w:spacing w:after="60" w:line="252" w:lineRule="auto"/>
      </w:pPr>
      <w:r>
        <w:t>15.5. При отказе в удовлетворении требования Оператор направляет мотивированный ответ со ссылкой на законное основание.</w:t>
      </w:r>
    </w:p>
    <w:p>
      <w:pPr>
        <w:widowControl/>
        <w:spacing w:after="60" w:line="252" w:lineRule="auto"/>
      </w:pPr>
      <w:r>
        <w:t>15.6. Сведения предоставляются в доступной форме и не должны содержать персональные данные других лиц, если отсутствует законное основание для их раскрытия.</w:t>
      </w:r>
    </w:p>
    <w:p>
      <w:pPr>
        <w:pStyle w:val="Heading1"/>
        <w:keepNext/>
        <w:widowControl/>
      </w:pPr>
      <w:r>
        <w:t>16. Обязанности Оператора</w:t>
      </w:r>
    </w:p>
    <w:p>
      <w:pPr>
        <w:pStyle w:val="ListBullet"/>
        <w:widowControl/>
        <w:spacing w:after="20" w:line="240" w:lineRule="auto"/>
      </w:pPr>
      <w:r>
        <w:t>обеспечивать законность обработки и иметь подтверждение правовых оснований;</w:t>
      </w:r>
    </w:p>
    <w:p>
      <w:pPr>
        <w:pStyle w:val="ListBullet"/>
        <w:widowControl/>
        <w:spacing w:after="20" w:line="240" w:lineRule="auto"/>
      </w:pPr>
      <w:r>
        <w:t>публиковать и актуализировать Политику;</w:t>
      </w:r>
    </w:p>
    <w:p>
      <w:pPr>
        <w:pStyle w:val="ListBullet"/>
        <w:widowControl/>
        <w:spacing w:after="20" w:line="240" w:lineRule="auto"/>
      </w:pPr>
      <w:r>
        <w:t>назначать лицо, ответственное за организацию обработки персональных данных;</w:t>
      </w:r>
    </w:p>
    <w:p>
      <w:pPr>
        <w:pStyle w:val="ListBullet"/>
        <w:widowControl/>
        <w:spacing w:after="20" w:line="240" w:lineRule="auto"/>
      </w:pPr>
      <w:r>
        <w:t>принимать локальные акты, определяющие процедуры предотвращения и выявления нарушений;</w:t>
      </w:r>
    </w:p>
    <w:p>
      <w:pPr>
        <w:pStyle w:val="ListBullet"/>
        <w:widowControl/>
        <w:spacing w:after="20" w:line="240" w:lineRule="auto"/>
      </w:pPr>
      <w:r>
        <w:t>осуществлять внутренний контроль и оценку соответствия обработки требованиям закона;</w:t>
      </w:r>
    </w:p>
    <w:p>
      <w:pPr>
        <w:pStyle w:val="ListBullet"/>
        <w:widowControl/>
        <w:spacing w:after="20" w:line="240" w:lineRule="auto"/>
      </w:pPr>
      <w:r>
        <w:t>обучать работников и знакомить их с требованиями под подпись;</w:t>
      </w:r>
    </w:p>
    <w:p>
      <w:pPr>
        <w:pStyle w:val="ListBullet"/>
        <w:widowControl/>
        <w:spacing w:after="20" w:line="240" w:lineRule="auto"/>
      </w:pPr>
      <w:r>
        <w:t>принимать правовые, организационные и технические меры защиты;</w:t>
      </w:r>
    </w:p>
    <w:p>
      <w:pPr>
        <w:pStyle w:val="ListBullet"/>
        <w:widowControl/>
        <w:spacing w:after="20" w:line="240" w:lineRule="auto"/>
      </w:pPr>
      <w:r>
        <w:t>вести учет носителей, систем, пользователей и событий безопасности;</w:t>
      </w:r>
    </w:p>
    <w:p>
      <w:pPr>
        <w:pStyle w:val="ListBullet"/>
        <w:widowControl/>
        <w:spacing w:after="20" w:line="240" w:lineRule="auto"/>
      </w:pPr>
      <w:r>
        <w:t>обеспечивать взаимодействие с Роскомнадзором, включая уведомления об обработке и инцидентах;</w:t>
      </w:r>
    </w:p>
    <w:p>
      <w:pPr>
        <w:pStyle w:val="ListBullet"/>
        <w:widowControl/>
        <w:spacing w:after="20" w:line="240" w:lineRule="auto"/>
      </w:pPr>
      <w:r>
        <w:t>исполнять законные требования субъектов и уполномоченного органа.</w:t>
      </w:r>
    </w:p>
    <w:p>
      <w:pPr>
        <w:pStyle w:val="Heading1"/>
        <w:keepNext/>
        <w:widowControl/>
      </w:pPr>
      <w:r>
        <w:t>17. Меры по обеспечению безопасности</w:t>
      </w:r>
    </w:p>
    <w:p>
      <w:pPr>
        <w:widowControl/>
        <w:spacing w:after="60" w:line="252" w:lineRule="auto"/>
      </w:pPr>
      <w:r>
        <w:t>Оператор определяет состав мер с учетом характера и объема данных, целей обработки, актуальных угроз и возможного вреда. В частности, применяются:</w:t>
      </w:r>
    </w:p>
    <w:p>
      <w:pPr>
        <w:pStyle w:val="ListBullet"/>
        <w:widowControl/>
        <w:spacing w:after="20" w:line="240" w:lineRule="auto"/>
      </w:pPr>
      <w:r>
        <w:t>назначение ответственного и распределение ролей;</w:t>
      </w:r>
    </w:p>
    <w:p>
      <w:pPr>
        <w:pStyle w:val="ListBullet"/>
        <w:widowControl/>
        <w:spacing w:after="20" w:line="240" w:lineRule="auto"/>
      </w:pPr>
      <w:r>
        <w:t>утверждение локальных актов, моделей угроз и перечней допущенных лиц;</w:t>
      </w:r>
    </w:p>
    <w:p>
      <w:pPr>
        <w:pStyle w:val="ListBullet"/>
        <w:widowControl/>
        <w:spacing w:after="20" w:line="240" w:lineRule="auto"/>
      </w:pPr>
      <w:r>
        <w:t>идентификация и аутентификация пользователей информационных систем;</w:t>
      </w:r>
    </w:p>
    <w:p>
      <w:pPr>
        <w:pStyle w:val="ListBullet"/>
        <w:widowControl/>
        <w:spacing w:after="20" w:line="240" w:lineRule="auto"/>
      </w:pPr>
      <w:r>
        <w:t>разграничение доступа по принципу минимальных полномочий;</w:t>
      </w:r>
    </w:p>
    <w:p>
      <w:pPr>
        <w:pStyle w:val="ListBullet"/>
        <w:widowControl/>
        <w:spacing w:after="20" w:line="240" w:lineRule="auto"/>
      </w:pPr>
      <w:r>
        <w:t>требования к сложности и периодической смене паролей, блокировка неактивных учетных записей;</w:t>
      </w:r>
    </w:p>
    <w:p>
      <w:pPr>
        <w:pStyle w:val="ListBullet"/>
        <w:widowControl/>
        <w:spacing w:after="20" w:line="240" w:lineRule="auto"/>
      </w:pPr>
      <w:r>
        <w:t>антивирусная защита, обновление программного обеспечения и устранение уязвимостей;</w:t>
      </w:r>
    </w:p>
    <w:p>
      <w:pPr>
        <w:pStyle w:val="ListBullet"/>
        <w:widowControl/>
        <w:spacing w:after="20" w:line="240" w:lineRule="auto"/>
      </w:pPr>
      <w:r>
        <w:t>межсетевое экранирование, защищенные каналы связи и криптографические средства, когда это необходимо;</w:t>
      </w:r>
    </w:p>
    <w:p>
      <w:pPr>
        <w:pStyle w:val="ListBullet"/>
        <w:widowControl/>
        <w:spacing w:after="20" w:line="240" w:lineRule="auto"/>
      </w:pPr>
      <w:r>
        <w:t>регистрация и анализ событий безопасности;</w:t>
      </w:r>
    </w:p>
    <w:p>
      <w:pPr>
        <w:pStyle w:val="ListBullet"/>
        <w:widowControl/>
        <w:spacing w:after="20" w:line="240" w:lineRule="auto"/>
      </w:pPr>
      <w:r>
        <w:t>резервное копирование и проверка восстановления;</w:t>
      </w:r>
    </w:p>
    <w:p>
      <w:pPr>
        <w:pStyle w:val="ListBullet"/>
        <w:widowControl/>
        <w:spacing w:after="20" w:line="240" w:lineRule="auto"/>
      </w:pPr>
      <w:r>
        <w:t>физическая защита помещений, серверов, рабочих мест и бумажных архивов;</w:t>
      </w:r>
    </w:p>
    <w:p>
      <w:pPr>
        <w:pStyle w:val="ListBullet"/>
        <w:widowControl/>
        <w:spacing w:after="20" w:line="240" w:lineRule="auto"/>
      </w:pPr>
      <w:r>
        <w:t>учет, маркировка и безопасное уничтожение носителей;</w:t>
      </w:r>
    </w:p>
    <w:p>
      <w:pPr>
        <w:pStyle w:val="ListBullet"/>
        <w:widowControl/>
        <w:spacing w:after="20" w:line="240" w:lineRule="auto"/>
      </w:pPr>
      <w:r>
        <w:t>контроль действий подрядчиков и включение требований о защите в договоры;</w:t>
      </w:r>
    </w:p>
    <w:p>
      <w:pPr>
        <w:pStyle w:val="ListBullet"/>
        <w:widowControl/>
        <w:spacing w:after="20" w:line="240" w:lineRule="auto"/>
      </w:pPr>
      <w:r>
        <w:t>периодическая проверка эффективности мер и реагирование на выявленные нарушения.</w:t>
      </w:r>
    </w:p>
    <w:p>
      <w:pPr>
        <w:widowControl/>
        <w:spacing w:after="60" w:line="252" w:lineRule="auto"/>
      </w:pPr>
      <w:r>
        <w:t>17.2. Конкретные технические характеристики средств защиты и конфигурации информационных систем являются информацией ограниченного доступа и в общедоступной Политике не раскрываются.</w:t>
      </w:r>
    </w:p>
    <w:p>
      <w:pPr>
        <w:pStyle w:val="Heading1"/>
        <w:keepNext/>
        <w:widowControl/>
      </w:pPr>
      <w:r>
        <w:t>18. Действия при инцидентах</w:t>
      </w:r>
    </w:p>
    <w:p>
      <w:pPr>
        <w:widowControl/>
        <w:spacing w:after="60" w:line="252" w:lineRule="auto"/>
      </w:pPr>
      <w:r>
        <w:t>18.1. Работник, обнаруживший утрату носителя, несанкционированный доступ, ошибочную отправку, вредоносное воздействие или иной инцидент, обязан незамедлительно сообщить ответственному лицу.</w:t>
      </w:r>
    </w:p>
    <w:p>
      <w:pPr>
        <w:widowControl/>
        <w:spacing w:after="60" w:line="252" w:lineRule="auto"/>
      </w:pPr>
      <w:r>
        <w:t>18.2. Оператор принимает меры к локализации инцидента, сохранению доказательств, оценке затронутых данных и возможного вреда, устранению причин и предотвращению повторения.</w:t>
      </w:r>
    </w:p>
    <w:p>
      <w:pPr>
        <w:widowControl/>
        <w:spacing w:after="60" w:line="252" w:lineRule="auto"/>
      </w:pPr>
      <w:r>
        <w:t>18.3. В случае инцидента, повлекшего нарушение прав субъектов, Оператор уведомляет Роскомнадзор в сроки и составе, предусмотренных законодательством, и направляет результаты внутреннего расследования.</w:t>
      </w:r>
    </w:p>
    <w:p>
      <w:pPr>
        <w:widowControl/>
        <w:spacing w:after="60" w:line="252" w:lineRule="auto"/>
      </w:pPr>
      <w:r>
        <w:t>18.4. При необходимости Оператор информирует затронутых субъектов, правоохранительные органы, поставщиков систем и иных лиц.</w:t>
      </w:r>
    </w:p>
    <w:p>
      <w:pPr>
        <w:widowControl/>
        <w:spacing w:after="60" w:line="252" w:lineRule="auto"/>
      </w:pPr>
      <w:r>
        <w:t>18.5. Все инциденты регистрируются, а по итогам проводится анализ корректирующих мер.</w:t>
      </w:r>
    </w:p>
    <w:p>
      <w:pPr>
        <w:pStyle w:val="Heading1"/>
        <w:keepNext/>
        <w:widowControl/>
      </w:pPr>
      <w:r>
        <w:t>19. Внутренний контроль и оценка вреда</w:t>
      </w:r>
    </w:p>
    <w:p>
      <w:pPr>
        <w:widowControl/>
        <w:spacing w:after="60" w:line="252" w:lineRule="auto"/>
      </w:pPr>
      <w:r>
        <w:t>19.1. Оператор проводит оценку вреда, который может быть причинен субъектам при нарушении законодательства, и соотносит возможный вред с принимаемыми мерами.</w:t>
      </w:r>
    </w:p>
    <w:p>
      <w:pPr>
        <w:widowControl/>
        <w:spacing w:after="60" w:line="252" w:lineRule="auto"/>
      </w:pPr>
      <w:r>
        <w:t>19.2. Не реже одного раза в год, а также при существенном изменении процессов проводится внутренний аудит: проверяются цели и основания, состав данных, доступы, договоры поручения, сроки хранения, формы сайта, согласия, уведомление Роскомнадзора и эффективность мер защиты.</w:t>
      </w:r>
    </w:p>
    <w:p>
      <w:pPr>
        <w:widowControl/>
        <w:spacing w:after="60" w:line="252" w:lineRule="auto"/>
      </w:pPr>
      <w:r>
        <w:t>19.3. Результаты проверок документируются. По выявленным несоответствиям утверждается план корректирующих мероприятий.</w:t>
      </w:r>
    </w:p>
    <w:p>
      <w:pPr>
        <w:widowControl/>
        <w:spacing w:after="60" w:line="252" w:lineRule="auto"/>
      </w:pPr>
      <w:r>
        <w:t>19.4. При запуске новой информационной системы, сервиса или процесса проводится предварительная оценка влияния на права субъектов.</w:t>
      </w:r>
    </w:p>
    <w:p>
      <w:pPr>
        <w:pStyle w:val="Heading1"/>
        <w:keepNext/>
        <w:widowControl/>
      </w:pPr>
      <w:r>
        <w:t>20. Ответственность</w:t>
      </w:r>
    </w:p>
    <w:p>
      <w:pPr>
        <w:widowControl/>
        <w:spacing w:after="60" w:line="252" w:lineRule="auto"/>
      </w:pPr>
      <w:r>
        <w:t>20.1. Лица, виновные в нарушении правил обработки и защиты персональных данных, несут дисциплинарную, материальную, гражданско-правовую, административную или уголовную ответственность в соответствии с законодательством.</w:t>
      </w:r>
    </w:p>
    <w:p>
      <w:pPr>
        <w:widowControl/>
        <w:spacing w:after="60" w:line="252" w:lineRule="auto"/>
      </w:pPr>
      <w:r>
        <w:t>20.2. Оператор не освобождается от ответственности перед субъектом только потому, что обработка была поручена третьему лицу, если иное не установлено законом.</w:t>
      </w:r>
    </w:p>
    <w:p>
      <w:pPr>
        <w:widowControl/>
        <w:spacing w:after="60" w:line="252" w:lineRule="auto"/>
      </w:pPr>
      <w:r>
        <w:t>20.3. Субъект несет ответственность за достоверность предоставленных данных и правомерность передачи Оператору данных третьих лиц.</w:t>
      </w:r>
    </w:p>
    <w:p>
      <w:pPr>
        <w:pStyle w:val="Heading1"/>
        <w:keepNext/>
        <w:widowControl/>
      </w:pPr>
      <w:r>
        <w:t>21. Заключительные положения</w:t>
      </w:r>
    </w:p>
    <w:p>
      <w:pPr>
        <w:widowControl/>
        <w:spacing w:after="60" w:line="252" w:lineRule="auto"/>
      </w:pPr>
      <w:r>
        <w:t>21.1. Политика вступает в силу с даты, указанной на титульном листе, и действует до замены новой редакцией.</w:t>
      </w:r>
    </w:p>
    <w:p>
      <w:pPr>
        <w:widowControl/>
        <w:spacing w:after="60" w:line="252" w:lineRule="auto"/>
      </w:pPr>
      <w:r>
        <w:t>21.2. Оператор вправе изменять Политику при изменении законодательства, процессов, состава информационных систем или по результатам внутреннего контроля.</w:t>
      </w:r>
    </w:p>
    <w:p>
      <w:pPr>
        <w:widowControl/>
        <w:spacing w:after="60" w:line="252" w:lineRule="auto"/>
      </w:pPr>
      <w:r>
        <w:t>21.3. Новая редакция применяется с момента публикации на сайте, если в ней не указан более поздний срок.</w:t>
      </w:r>
    </w:p>
    <w:p>
      <w:pPr>
        <w:widowControl/>
        <w:spacing w:after="60" w:line="252" w:lineRule="auto"/>
      </w:pPr>
      <w:r>
        <w:t>21.4. Вопросы по Политике направляются на akyar.med@mail.ru или по адресу Оператора.</w:t>
      </w:r>
    </w:p>
    <w:p>
      <w:pPr>
        <w:widowControl/>
        <w:spacing w:after="60" w:line="252" w:lineRule="auto"/>
      </w:pPr>
      <w:r>
        <w:t>21.5. Размещение Политики на сайте не освобождает Оператора от обязанности иметь внутренние локальные акты, согласия, договоры поручения, документы по информационной безопасности, оценку вреда, журнал инцидентов и актуальное уведомление Роскомнадзора.</w:t>
      </w:r>
    </w:p>
    <w:p>
      <w:pPr>
        <w:widowControl/>
      </w:pPr>
      <w:r>
        <w:br w:type="page"/>
      </w:r>
    </w:p>
    <w:p>
      <w:pPr>
        <w:pStyle w:val="Heading1"/>
        <w:keepNext/>
        <w:widowControl/>
      </w:pPr>
      <w:r>
        <w:t>Приложение 1. Расширенная матрица целей обработки</w:t>
      </w:r>
    </w:p>
    <w:tbl>
      <w:tblPr>
        <w:tblStyle w:val="TableGrid"/>
        <w:tblW w:type="auto" w:w="0"/>
        <w:jc w:val="center"/>
        <w:tblLook w:firstColumn="1" w:firstRow="1" w:lastColumn="0" w:lastRow="0" w:noHBand="0" w:noVBand="1" w:val="04A0"/>
      </w:tblPr>
      <w:tblGrid>
        <w:gridCol w:w="2006"/>
        <w:gridCol w:w="2006"/>
        <w:gridCol w:w="2006"/>
        <w:gridCol w:w="2006"/>
        <w:gridCol w:w="2006"/>
      </w:tblGrid>
      <w:tr>
        <w:trPr>
          <w:tblHeader w:val="true"/>
        </w:trPr>
        <w:tc>
          <w:tcPr>
            <w:tcW w:type="dxa" w:w="1701"/>
            <w:shd w:fill="D9EAF7"/>
            <w:vAlign w:val="center"/>
          </w:tcPr>
          <w:p>
            <w:r>
              <w:rPr>
                <w:b/>
                <w:sz w:val="15"/>
              </w:rPr>
              <w:t>Субъекты</w:t>
            </w:r>
          </w:p>
        </w:tc>
        <w:tc>
          <w:tcPr>
            <w:tcW w:type="dxa" w:w="1814"/>
            <w:shd w:fill="D9EAF7"/>
            <w:vAlign w:val="center"/>
          </w:tcPr>
          <w:p>
            <w:r>
              <w:rPr>
                <w:b/>
                <w:sz w:val="15"/>
              </w:rPr>
              <w:t>Цель</w:t>
            </w:r>
          </w:p>
        </w:tc>
        <w:tc>
          <w:tcPr>
            <w:tcW w:type="dxa" w:w="2835"/>
            <w:shd w:fill="D9EAF7"/>
            <w:vAlign w:val="center"/>
          </w:tcPr>
          <w:p>
            <w:r>
              <w:rPr>
                <w:b/>
                <w:sz w:val="15"/>
              </w:rPr>
              <w:t>Данные</w:t>
            </w:r>
          </w:p>
        </w:tc>
        <w:tc>
          <w:tcPr>
            <w:tcW w:type="dxa" w:w="1984"/>
            <w:shd w:fill="D9EAF7"/>
            <w:vAlign w:val="center"/>
          </w:tcPr>
          <w:p>
            <w:r>
              <w:rPr>
                <w:b/>
                <w:sz w:val="15"/>
              </w:rPr>
              <w:t>Основание</w:t>
            </w:r>
          </w:p>
        </w:tc>
        <w:tc>
          <w:tcPr>
            <w:tcW w:type="dxa" w:w="2268"/>
            <w:shd w:fill="D9EAF7"/>
            <w:vAlign w:val="center"/>
          </w:tcPr>
          <w:p>
            <w:r>
              <w:rPr>
                <w:b/>
                <w:sz w:val="15"/>
              </w:rPr>
              <w:t>Получатели/системы</w:t>
            </w:r>
          </w:p>
        </w:tc>
      </w:tr>
      <w:tr>
        <w:tc>
          <w:tcPr>
            <w:tcW w:type="dxa" w:w="1701"/>
            <w:vAlign w:val="top"/>
          </w:tcPr>
          <w:p>
            <w:pPr>
              <w:spacing w:after="0" w:line="240" w:lineRule="auto"/>
            </w:pPr>
            <w:r>
              <w:rPr>
                <w:rFonts w:ascii="Times New Roman" w:hAnsi="Times New Roman"/>
                <w:sz w:val="15"/>
              </w:rPr>
              <w:t>Пациенты и представители</w:t>
            </w:r>
          </w:p>
        </w:tc>
        <w:tc>
          <w:tcPr>
            <w:tcW w:type="dxa" w:w="1814"/>
            <w:vAlign w:val="top"/>
          </w:tcPr>
          <w:p>
            <w:pPr>
              <w:spacing w:after="0" w:line="240" w:lineRule="auto"/>
            </w:pPr>
            <w:r>
              <w:rPr>
                <w:rFonts w:ascii="Times New Roman" w:hAnsi="Times New Roman"/>
                <w:sz w:val="15"/>
              </w:rPr>
              <w:t>Идентификация, запись, договор</w:t>
            </w:r>
          </w:p>
        </w:tc>
        <w:tc>
          <w:tcPr>
            <w:tcW w:type="dxa" w:w="2835"/>
            <w:vAlign w:val="top"/>
          </w:tcPr>
          <w:p>
            <w:pPr>
              <w:spacing w:after="0" w:line="240" w:lineRule="auto"/>
            </w:pPr>
            <w:r>
              <w:rPr>
                <w:rFonts w:ascii="Times New Roman" w:hAnsi="Times New Roman"/>
                <w:sz w:val="15"/>
              </w:rPr>
              <w:t>ФИО, дата рождения, пол, телефон, e-mail, адрес, документ при необходимости, данные представителя</w:t>
            </w:r>
          </w:p>
        </w:tc>
        <w:tc>
          <w:tcPr>
            <w:tcW w:type="dxa" w:w="1984"/>
            <w:vAlign w:val="top"/>
          </w:tcPr>
          <w:p>
            <w:pPr>
              <w:spacing w:after="0" w:line="240" w:lineRule="auto"/>
            </w:pPr>
            <w:r>
              <w:rPr>
                <w:rFonts w:ascii="Times New Roman" w:hAnsi="Times New Roman"/>
                <w:sz w:val="15"/>
              </w:rPr>
              <w:t>договор, закон, согласие</w:t>
            </w:r>
          </w:p>
        </w:tc>
        <w:tc>
          <w:tcPr>
            <w:tcW w:type="dxa" w:w="2268"/>
            <w:vAlign w:val="top"/>
          </w:tcPr>
          <w:p>
            <w:pPr>
              <w:spacing w:after="0" w:line="240" w:lineRule="auto"/>
            </w:pPr>
            <w:r>
              <w:rPr>
                <w:rFonts w:ascii="Times New Roman" w:hAnsi="Times New Roman"/>
                <w:sz w:val="15"/>
              </w:rPr>
              <w:t>регистратура, бухгалтерия, МИС</w:t>
            </w:r>
          </w:p>
        </w:tc>
      </w:tr>
      <w:tr>
        <w:tc>
          <w:tcPr>
            <w:tcW w:type="dxa" w:w="1701"/>
            <w:vAlign w:val="top"/>
          </w:tcPr>
          <w:p>
            <w:pPr>
              <w:spacing w:after="0" w:line="240" w:lineRule="auto"/>
            </w:pPr>
            <w:r>
              <w:rPr>
                <w:rFonts w:ascii="Times New Roman" w:hAnsi="Times New Roman"/>
                <w:sz w:val="15"/>
              </w:rPr>
              <w:t>Пациенты</w:t>
            </w:r>
          </w:p>
        </w:tc>
        <w:tc>
          <w:tcPr>
            <w:tcW w:type="dxa" w:w="1814"/>
            <w:vAlign w:val="top"/>
          </w:tcPr>
          <w:p>
            <w:pPr>
              <w:spacing w:after="0" w:line="240" w:lineRule="auto"/>
            </w:pPr>
            <w:r>
              <w:rPr>
                <w:rFonts w:ascii="Times New Roman" w:hAnsi="Times New Roman"/>
                <w:sz w:val="15"/>
              </w:rPr>
              <w:t>Диагностика и лечение</w:t>
            </w:r>
          </w:p>
        </w:tc>
        <w:tc>
          <w:tcPr>
            <w:tcW w:type="dxa" w:w="2835"/>
            <w:vAlign w:val="top"/>
          </w:tcPr>
          <w:p>
            <w:pPr>
              <w:spacing w:after="0" w:line="240" w:lineRule="auto"/>
            </w:pPr>
            <w:r>
              <w:rPr>
                <w:rFonts w:ascii="Times New Roman" w:hAnsi="Times New Roman"/>
                <w:sz w:val="15"/>
              </w:rPr>
              <w:t>анамнез, жалобы, диагноз, назначения, результаты, изображения и документы</w:t>
            </w:r>
          </w:p>
        </w:tc>
        <w:tc>
          <w:tcPr>
            <w:tcW w:type="dxa" w:w="1984"/>
            <w:vAlign w:val="top"/>
          </w:tcPr>
          <w:p>
            <w:pPr>
              <w:spacing w:after="0" w:line="240" w:lineRule="auto"/>
            </w:pPr>
            <w:r>
              <w:rPr>
                <w:rFonts w:ascii="Times New Roman" w:hAnsi="Times New Roman"/>
                <w:sz w:val="15"/>
              </w:rPr>
              <w:t>закон, специальные основания, согласие при необходимости</w:t>
            </w:r>
          </w:p>
        </w:tc>
        <w:tc>
          <w:tcPr>
            <w:tcW w:type="dxa" w:w="2268"/>
            <w:vAlign w:val="top"/>
          </w:tcPr>
          <w:p>
            <w:pPr>
              <w:spacing w:after="0" w:line="240" w:lineRule="auto"/>
            </w:pPr>
            <w:r>
              <w:rPr>
                <w:rFonts w:ascii="Times New Roman" w:hAnsi="Times New Roman"/>
                <w:sz w:val="15"/>
              </w:rPr>
              <w:t>врачи, медперсонал, МИС, лаборатория</w:t>
            </w:r>
          </w:p>
        </w:tc>
      </w:tr>
      <w:tr>
        <w:tc>
          <w:tcPr>
            <w:tcW w:type="dxa" w:w="1701"/>
            <w:vAlign w:val="top"/>
          </w:tcPr>
          <w:p>
            <w:pPr>
              <w:spacing w:after="0" w:line="240" w:lineRule="auto"/>
            </w:pPr>
            <w:r>
              <w:rPr>
                <w:rFonts w:ascii="Times New Roman" w:hAnsi="Times New Roman"/>
                <w:sz w:val="15"/>
              </w:rPr>
              <w:t>Пациенты/плательщики</w:t>
            </w:r>
          </w:p>
        </w:tc>
        <w:tc>
          <w:tcPr>
            <w:tcW w:type="dxa" w:w="1814"/>
            <w:vAlign w:val="top"/>
          </w:tcPr>
          <w:p>
            <w:pPr>
              <w:spacing w:after="0" w:line="240" w:lineRule="auto"/>
            </w:pPr>
            <w:r>
              <w:rPr>
                <w:rFonts w:ascii="Times New Roman" w:hAnsi="Times New Roman"/>
                <w:sz w:val="15"/>
              </w:rPr>
              <w:t>Расчеты</w:t>
            </w:r>
          </w:p>
        </w:tc>
        <w:tc>
          <w:tcPr>
            <w:tcW w:type="dxa" w:w="2835"/>
            <w:vAlign w:val="top"/>
          </w:tcPr>
          <w:p>
            <w:pPr>
              <w:spacing w:after="0" w:line="240" w:lineRule="auto"/>
            </w:pPr>
            <w:r>
              <w:rPr>
                <w:rFonts w:ascii="Times New Roman" w:hAnsi="Times New Roman"/>
                <w:sz w:val="15"/>
              </w:rPr>
              <w:t>ФИО, сумма, способ оплаты, телефон/e-mail для чека</w:t>
            </w:r>
          </w:p>
        </w:tc>
        <w:tc>
          <w:tcPr>
            <w:tcW w:type="dxa" w:w="1984"/>
            <w:vAlign w:val="top"/>
          </w:tcPr>
          <w:p>
            <w:pPr>
              <w:spacing w:after="0" w:line="240" w:lineRule="auto"/>
            </w:pPr>
            <w:r>
              <w:rPr>
                <w:rFonts w:ascii="Times New Roman" w:hAnsi="Times New Roman"/>
                <w:sz w:val="15"/>
              </w:rPr>
              <w:t>договор, налоговое законодательство</w:t>
            </w:r>
          </w:p>
        </w:tc>
        <w:tc>
          <w:tcPr>
            <w:tcW w:type="dxa" w:w="2268"/>
            <w:vAlign w:val="top"/>
          </w:tcPr>
          <w:p>
            <w:pPr>
              <w:spacing w:after="0" w:line="240" w:lineRule="auto"/>
            </w:pPr>
            <w:r>
              <w:rPr>
                <w:rFonts w:ascii="Times New Roman" w:hAnsi="Times New Roman"/>
                <w:sz w:val="15"/>
              </w:rPr>
              <w:t>касса, банк, ОФД, бухгалтерия</w:t>
            </w:r>
          </w:p>
        </w:tc>
      </w:tr>
      <w:tr>
        <w:tc>
          <w:tcPr>
            <w:tcW w:type="dxa" w:w="1701"/>
            <w:vAlign w:val="top"/>
          </w:tcPr>
          <w:p>
            <w:pPr>
              <w:spacing w:after="0" w:line="240" w:lineRule="auto"/>
            </w:pPr>
            <w:r>
              <w:rPr>
                <w:rFonts w:ascii="Times New Roman" w:hAnsi="Times New Roman"/>
                <w:sz w:val="15"/>
              </w:rPr>
              <w:t>Посетители сайта</w:t>
            </w:r>
          </w:p>
        </w:tc>
        <w:tc>
          <w:tcPr>
            <w:tcW w:type="dxa" w:w="1814"/>
            <w:vAlign w:val="top"/>
          </w:tcPr>
          <w:p>
            <w:pPr>
              <w:spacing w:after="0" w:line="240" w:lineRule="auto"/>
            </w:pPr>
            <w:r>
              <w:rPr>
                <w:rFonts w:ascii="Times New Roman" w:hAnsi="Times New Roman"/>
                <w:sz w:val="15"/>
              </w:rPr>
              <w:t>Обращение и запись</w:t>
            </w:r>
          </w:p>
        </w:tc>
        <w:tc>
          <w:tcPr>
            <w:tcW w:type="dxa" w:w="2835"/>
            <w:vAlign w:val="top"/>
          </w:tcPr>
          <w:p>
            <w:pPr>
              <w:spacing w:after="0" w:line="240" w:lineRule="auto"/>
            </w:pPr>
            <w:r>
              <w:rPr>
                <w:rFonts w:ascii="Times New Roman" w:hAnsi="Times New Roman"/>
                <w:sz w:val="15"/>
              </w:rPr>
              <w:t>имя, телефон, e-mail, комментарий, технические данные</w:t>
            </w:r>
          </w:p>
        </w:tc>
        <w:tc>
          <w:tcPr>
            <w:tcW w:type="dxa" w:w="1984"/>
            <w:vAlign w:val="top"/>
          </w:tcPr>
          <w:p>
            <w:pPr>
              <w:spacing w:after="0" w:line="240" w:lineRule="auto"/>
            </w:pPr>
            <w:r>
              <w:rPr>
                <w:rFonts w:ascii="Times New Roman" w:hAnsi="Times New Roman"/>
                <w:sz w:val="15"/>
              </w:rPr>
              <w:t>согласие, преддоговорные действия</w:t>
            </w:r>
          </w:p>
        </w:tc>
        <w:tc>
          <w:tcPr>
            <w:tcW w:type="dxa" w:w="2268"/>
            <w:vAlign w:val="top"/>
          </w:tcPr>
          <w:p>
            <w:pPr>
              <w:spacing w:after="0" w:line="240" w:lineRule="auto"/>
            </w:pPr>
            <w:r>
              <w:rPr>
                <w:rFonts w:ascii="Times New Roman" w:hAnsi="Times New Roman"/>
                <w:sz w:val="15"/>
              </w:rPr>
              <w:t>сайт, CRM/МИС, регистратура</w:t>
            </w:r>
          </w:p>
        </w:tc>
      </w:tr>
      <w:tr>
        <w:tc>
          <w:tcPr>
            <w:tcW w:type="dxa" w:w="1701"/>
            <w:vAlign w:val="top"/>
          </w:tcPr>
          <w:p>
            <w:pPr>
              <w:spacing w:after="0" w:line="240" w:lineRule="auto"/>
            </w:pPr>
            <w:r>
              <w:rPr>
                <w:rFonts w:ascii="Times New Roman" w:hAnsi="Times New Roman"/>
                <w:sz w:val="15"/>
              </w:rPr>
              <w:t>Посетители сайта</w:t>
            </w:r>
          </w:p>
        </w:tc>
        <w:tc>
          <w:tcPr>
            <w:tcW w:type="dxa" w:w="1814"/>
            <w:vAlign w:val="top"/>
          </w:tcPr>
          <w:p>
            <w:pPr>
              <w:spacing w:after="0" w:line="240" w:lineRule="auto"/>
            </w:pPr>
            <w:r>
              <w:rPr>
                <w:rFonts w:ascii="Times New Roman" w:hAnsi="Times New Roman"/>
                <w:sz w:val="15"/>
              </w:rPr>
              <w:t>Аналитика и безопасность</w:t>
            </w:r>
          </w:p>
        </w:tc>
        <w:tc>
          <w:tcPr>
            <w:tcW w:type="dxa" w:w="2835"/>
            <w:vAlign w:val="top"/>
          </w:tcPr>
          <w:p>
            <w:pPr>
              <w:spacing w:after="0" w:line="240" w:lineRule="auto"/>
            </w:pPr>
            <w:r>
              <w:rPr>
                <w:rFonts w:ascii="Times New Roman" w:hAnsi="Times New Roman"/>
                <w:sz w:val="15"/>
              </w:rPr>
              <w:t>cookie, IP, устройство, браузер, журналы</w:t>
            </w:r>
          </w:p>
        </w:tc>
        <w:tc>
          <w:tcPr>
            <w:tcW w:type="dxa" w:w="1984"/>
            <w:vAlign w:val="top"/>
          </w:tcPr>
          <w:p>
            <w:pPr>
              <w:spacing w:after="0" w:line="240" w:lineRule="auto"/>
            </w:pPr>
            <w:r>
              <w:rPr>
                <w:rFonts w:ascii="Times New Roman" w:hAnsi="Times New Roman"/>
                <w:sz w:val="15"/>
              </w:rPr>
              <w:t>согласие/законный интерес в допустимых пределах</w:t>
            </w:r>
          </w:p>
        </w:tc>
        <w:tc>
          <w:tcPr>
            <w:tcW w:type="dxa" w:w="2268"/>
            <w:vAlign w:val="top"/>
          </w:tcPr>
          <w:p>
            <w:pPr>
              <w:spacing w:after="0" w:line="240" w:lineRule="auto"/>
            </w:pPr>
            <w:r>
              <w:rPr>
                <w:rFonts w:ascii="Times New Roman" w:hAnsi="Times New Roman"/>
                <w:sz w:val="15"/>
              </w:rPr>
              <w:t>хостинг, Яндекс Метрика при согласии</w:t>
            </w:r>
          </w:p>
        </w:tc>
      </w:tr>
      <w:tr>
        <w:tc>
          <w:tcPr>
            <w:tcW w:type="dxa" w:w="1701"/>
            <w:vAlign w:val="top"/>
          </w:tcPr>
          <w:p>
            <w:pPr>
              <w:spacing w:after="0" w:line="240" w:lineRule="auto"/>
            </w:pPr>
            <w:r>
              <w:rPr>
                <w:rFonts w:ascii="Times New Roman" w:hAnsi="Times New Roman"/>
                <w:sz w:val="15"/>
              </w:rPr>
              <w:t>Работники</w:t>
            </w:r>
          </w:p>
        </w:tc>
        <w:tc>
          <w:tcPr>
            <w:tcW w:type="dxa" w:w="1814"/>
            <w:vAlign w:val="top"/>
          </w:tcPr>
          <w:p>
            <w:pPr>
              <w:spacing w:after="0" w:line="240" w:lineRule="auto"/>
            </w:pPr>
            <w:r>
              <w:rPr>
                <w:rFonts w:ascii="Times New Roman" w:hAnsi="Times New Roman"/>
                <w:sz w:val="15"/>
              </w:rPr>
              <w:t>Трудовые отношения</w:t>
            </w:r>
          </w:p>
        </w:tc>
        <w:tc>
          <w:tcPr>
            <w:tcW w:type="dxa" w:w="2835"/>
            <w:vAlign w:val="top"/>
          </w:tcPr>
          <w:p>
            <w:pPr>
              <w:spacing w:after="0" w:line="240" w:lineRule="auto"/>
            </w:pPr>
            <w:r>
              <w:rPr>
                <w:rFonts w:ascii="Times New Roman" w:hAnsi="Times New Roman"/>
                <w:sz w:val="15"/>
              </w:rPr>
              <w:t>кадровые, налоговые, банковские, сведения о здоровье в установленных случаях</w:t>
            </w:r>
          </w:p>
        </w:tc>
        <w:tc>
          <w:tcPr>
            <w:tcW w:type="dxa" w:w="1984"/>
            <w:vAlign w:val="top"/>
          </w:tcPr>
          <w:p>
            <w:pPr>
              <w:spacing w:after="0" w:line="240" w:lineRule="auto"/>
            </w:pPr>
            <w:r>
              <w:rPr>
                <w:rFonts w:ascii="Times New Roman" w:hAnsi="Times New Roman"/>
                <w:sz w:val="15"/>
              </w:rPr>
              <w:t>закон, трудовой договор</w:t>
            </w:r>
          </w:p>
        </w:tc>
        <w:tc>
          <w:tcPr>
            <w:tcW w:type="dxa" w:w="2268"/>
            <w:vAlign w:val="top"/>
          </w:tcPr>
          <w:p>
            <w:pPr>
              <w:spacing w:after="0" w:line="240" w:lineRule="auto"/>
            </w:pPr>
            <w:r>
              <w:rPr>
                <w:rFonts w:ascii="Times New Roman" w:hAnsi="Times New Roman"/>
                <w:sz w:val="15"/>
              </w:rPr>
              <w:t>кадры, бухгалтерия, госорганы</w:t>
            </w:r>
          </w:p>
        </w:tc>
      </w:tr>
      <w:tr>
        <w:tc>
          <w:tcPr>
            <w:tcW w:type="dxa" w:w="1701"/>
            <w:vAlign w:val="top"/>
          </w:tcPr>
          <w:p>
            <w:pPr>
              <w:spacing w:after="0" w:line="240" w:lineRule="auto"/>
            </w:pPr>
            <w:r>
              <w:rPr>
                <w:rFonts w:ascii="Times New Roman" w:hAnsi="Times New Roman"/>
                <w:sz w:val="15"/>
              </w:rPr>
              <w:t>Соискатели</w:t>
            </w:r>
          </w:p>
        </w:tc>
        <w:tc>
          <w:tcPr>
            <w:tcW w:type="dxa" w:w="1814"/>
            <w:vAlign w:val="top"/>
          </w:tcPr>
          <w:p>
            <w:pPr>
              <w:spacing w:after="0" w:line="240" w:lineRule="auto"/>
            </w:pPr>
            <w:r>
              <w:rPr>
                <w:rFonts w:ascii="Times New Roman" w:hAnsi="Times New Roman"/>
                <w:sz w:val="15"/>
              </w:rPr>
              <w:t>Подбор персонала</w:t>
            </w:r>
          </w:p>
        </w:tc>
        <w:tc>
          <w:tcPr>
            <w:tcW w:type="dxa" w:w="2835"/>
            <w:vAlign w:val="top"/>
          </w:tcPr>
          <w:p>
            <w:pPr>
              <w:spacing w:after="0" w:line="240" w:lineRule="auto"/>
            </w:pPr>
            <w:r>
              <w:rPr>
                <w:rFonts w:ascii="Times New Roman" w:hAnsi="Times New Roman"/>
                <w:sz w:val="15"/>
              </w:rPr>
              <w:t>резюме, контакты, образование, опыт</w:t>
            </w:r>
          </w:p>
        </w:tc>
        <w:tc>
          <w:tcPr>
            <w:tcW w:type="dxa" w:w="1984"/>
            <w:vAlign w:val="top"/>
          </w:tcPr>
          <w:p>
            <w:pPr>
              <w:spacing w:after="0" w:line="240" w:lineRule="auto"/>
            </w:pPr>
            <w:r>
              <w:rPr>
                <w:rFonts w:ascii="Times New Roman" w:hAnsi="Times New Roman"/>
                <w:sz w:val="15"/>
              </w:rPr>
              <w:t>согласие</w:t>
            </w:r>
          </w:p>
        </w:tc>
        <w:tc>
          <w:tcPr>
            <w:tcW w:type="dxa" w:w="2268"/>
            <w:vAlign w:val="top"/>
          </w:tcPr>
          <w:p>
            <w:pPr>
              <w:spacing w:after="0" w:line="240" w:lineRule="auto"/>
            </w:pPr>
            <w:r>
              <w:rPr>
                <w:rFonts w:ascii="Times New Roman" w:hAnsi="Times New Roman"/>
                <w:sz w:val="15"/>
              </w:rPr>
              <w:t>ответственные работники</w:t>
            </w:r>
          </w:p>
        </w:tc>
      </w:tr>
      <w:tr>
        <w:tc>
          <w:tcPr>
            <w:tcW w:type="dxa" w:w="1701"/>
            <w:vAlign w:val="top"/>
          </w:tcPr>
          <w:p>
            <w:pPr>
              <w:spacing w:after="0" w:line="240" w:lineRule="auto"/>
            </w:pPr>
            <w:r>
              <w:rPr>
                <w:rFonts w:ascii="Times New Roman" w:hAnsi="Times New Roman"/>
                <w:sz w:val="15"/>
              </w:rPr>
              <w:t>Контрагенты</w:t>
            </w:r>
          </w:p>
        </w:tc>
        <w:tc>
          <w:tcPr>
            <w:tcW w:type="dxa" w:w="1814"/>
            <w:vAlign w:val="top"/>
          </w:tcPr>
          <w:p>
            <w:pPr>
              <w:spacing w:after="0" w:line="240" w:lineRule="auto"/>
            </w:pPr>
            <w:r>
              <w:rPr>
                <w:rFonts w:ascii="Times New Roman" w:hAnsi="Times New Roman"/>
                <w:sz w:val="15"/>
              </w:rPr>
              <w:t>Заключение и исполнение договоров</w:t>
            </w:r>
          </w:p>
        </w:tc>
        <w:tc>
          <w:tcPr>
            <w:tcW w:type="dxa" w:w="2835"/>
            <w:vAlign w:val="top"/>
          </w:tcPr>
          <w:p>
            <w:pPr>
              <w:spacing w:after="0" w:line="240" w:lineRule="auto"/>
            </w:pPr>
            <w:r>
              <w:rPr>
                <w:rFonts w:ascii="Times New Roman" w:hAnsi="Times New Roman"/>
                <w:sz w:val="15"/>
              </w:rPr>
              <w:t>ФИО, должность, контакты, доверенность, подпись</w:t>
            </w:r>
          </w:p>
        </w:tc>
        <w:tc>
          <w:tcPr>
            <w:tcW w:type="dxa" w:w="1984"/>
            <w:vAlign w:val="top"/>
          </w:tcPr>
          <w:p>
            <w:pPr>
              <w:spacing w:after="0" w:line="240" w:lineRule="auto"/>
            </w:pPr>
            <w:r>
              <w:rPr>
                <w:rFonts w:ascii="Times New Roman" w:hAnsi="Times New Roman"/>
                <w:sz w:val="15"/>
              </w:rPr>
              <w:t>договор, законный интерес</w:t>
            </w:r>
          </w:p>
        </w:tc>
        <w:tc>
          <w:tcPr>
            <w:tcW w:type="dxa" w:w="2268"/>
            <w:vAlign w:val="top"/>
          </w:tcPr>
          <w:p>
            <w:pPr>
              <w:spacing w:after="0" w:line="240" w:lineRule="auto"/>
            </w:pPr>
            <w:r>
              <w:rPr>
                <w:rFonts w:ascii="Times New Roman" w:hAnsi="Times New Roman"/>
                <w:sz w:val="15"/>
              </w:rPr>
              <w:t>руководство, бухгалтерия, юристы</w:t>
            </w:r>
          </w:p>
        </w:tc>
      </w:tr>
    </w:tbl>
    <w:p>
      <w:pPr>
        <w:widowControl/>
        <w:spacing w:after="20"/>
      </w:pPr>
    </w:p>
    <w:p>
      <w:pPr>
        <w:pStyle w:val="Heading1"/>
        <w:keepNext/>
        <w:widowControl/>
      </w:pPr>
      <w:r>
        <w:t>Приложение 2. Основные категории получателей и информационных систем</w:t>
      </w:r>
    </w:p>
    <w:tbl>
      <w:tblPr>
        <w:tblStyle w:val="TableGrid"/>
        <w:tblW w:type="auto" w:w="0"/>
        <w:jc w:val="center"/>
        <w:tblLook w:firstColumn="1" w:firstRow="1" w:lastColumn="0" w:lastRow="0" w:noHBand="0" w:noVBand="1" w:val="04A0"/>
      </w:tblPr>
      <w:tblGrid>
        <w:gridCol w:w="3343"/>
        <w:gridCol w:w="3343"/>
        <w:gridCol w:w="3343"/>
      </w:tblGrid>
      <w:tr>
        <w:trPr>
          <w:tblHeader w:val="true"/>
        </w:trPr>
        <w:tc>
          <w:tcPr>
            <w:tcW w:type="dxa" w:w="2268"/>
            <w:shd w:fill="D9EAF7"/>
            <w:vAlign w:val="center"/>
          </w:tcPr>
          <w:p>
            <w:r>
              <w:rPr>
                <w:b/>
                <w:sz w:val="16"/>
              </w:rPr>
              <w:t>Получатель/система</w:t>
            </w:r>
          </w:p>
        </w:tc>
        <w:tc>
          <w:tcPr>
            <w:tcW w:type="dxa" w:w="3685"/>
            <w:shd w:fill="D9EAF7"/>
            <w:vAlign w:val="center"/>
          </w:tcPr>
          <w:p>
            <w:r>
              <w:rPr>
                <w:b/>
                <w:sz w:val="16"/>
              </w:rPr>
              <w:t>Категории данных</w:t>
            </w:r>
          </w:p>
        </w:tc>
        <w:tc>
          <w:tcPr>
            <w:tcW w:type="dxa" w:w="4535"/>
            <w:shd w:fill="D9EAF7"/>
            <w:vAlign w:val="center"/>
          </w:tcPr>
          <w:p>
            <w:r>
              <w:rPr>
                <w:b/>
                <w:sz w:val="16"/>
              </w:rPr>
              <w:t>Ключевые условия</w:t>
            </w:r>
          </w:p>
        </w:tc>
      </w:tr>
      <w:tr>
        <w:tc>
          <w:tcPr>
            <w:tcW w:type="dxa" w:w="2268"/>
            <w:vAlign w:val="top"/>
          </w:tcPr>
          <w:p>
            <w:pPr>
              <w:spacing w:after="0" w:line="240" w:lineRule="auto"/>
            </w:pPr>
            <w:r>
              <w:rPr>
                <w:rFonts w:ascii="Times New Roman" w:hAnsi="Times New Roman"/>
                <w:sz w:val="16"/>
              </w:rPr>
              <w:t>МИС «МедЛок»</w:t>
            </w:r>
          </w:p>
        </w:tc>
        <w:tc>
          <w:tcPr>
            <w:tcW w:type="dxa" w:w="3685"/>
            <w:vAlign w:val="top"/>
          </w:tcPr>
          <w:p>
            <w:pPr>
              <w:spacing w:after="0" w:line="240" w:lineRule="auto"/>
            </w:pPr>
            <w:r>
              <w:rPr>
                <w:rFonts w:ascii="Times New Roman" w:hAnsi="Times New Roman"/>
                <w:sz w:val="16"/>
              </w:rPr>
              <w:t>медицинская документация, запись, услуги, расчеты</w:t>
            </w:r>
          </w:p>
        </w:tc>
        <w:tc>
          <w:tcPr>
            <w:tcW w:type="dxa" w:w="4535"/>
            <w:vAlign w:val="top"/>
          </w:tcPr>
          <w:p>
            <w:pPr>
              <w:spacing w:after="0" w:line="240" w:lineRule="auto"/>
            </w:pPr>
            <w:r>
              <w:rPr>
                <w:rFonts w:ascii="Times New Roman" w:hAnsi="Times New Roman"/>
                <w:sz w:val="16"/>
              </w:rPr>
              <w:t>поручение обработки; договор; разграничение доступа; локализация</w:t>
            </w:r>
          </w:p>
        </w:tc>
      </w:tr>
      <w:tr>
        <w:tc>
          <w:tcPr>
            <w:tcW w:type="dxa" w:w="2268"/>
            <w:vAlign w:val="top"/>
          </w:tcPr>
          <w:p>
            <w:pPr>
              <w:spacing w:after="0" w:line="240" w:lineRule="auto"/>
            </w:pPr>
            <w:r>
              <w:rPr>
                <w:rFonts w:ascii="Times New Roman" w:hAnsi="Times New Roman"/>
                <w:sz w:val="16"/>
              </w:rPr>
              <w:t>Сервис «МедТочка»</w:t>
            </w:r>
          </w:p>
        </w:tc>
        <w:tc>
          <w:tcPr>
            <w:tcW w:type="dxa" w:w="3685"/>
            <w:vAlign w:val="top"/>
          </w:tcPr>
          <w:p>
            <w:pPr>
              <w:spacing w:after="0" w:line="240" w:lineRule="auto"/>
            </w:pPr>
            <w:r>
              <w:rPr>
                <w:rFonts w:ascii="Times New Roman" w:hAnsi="Times New Roman"/>
                <w:sz w:val="16"/>
              </w:rPr>
              <w:t>запись, уведомления, взаимодействие с пациентами - в пределах подключенного функционала</w:t>
            </w:r>
          </w:p>
        </w:tc>
        <w:tc>
          <w:tcPr>
            <w:tcW w:type="dxa" w:w="4535"/>
            <w:vAlign w:val="top"/>
          </w:tcPr>
          <w:p>
            <w:pPr>
              <w:spacing w:after="0" w:line="240" w:lineRule="auto"/>
            </w:pPr>
            <w:r>
              <w:rPr>
                <w:rFonts w:ascii="Times New Roman" w:hAnsi="Times New Roman"/>
                <w:sz w:val="16"/>
              </w:rPr>
              <w:t>поручение обработки; минимизация; проверка местонахождения баз</w:t>
            </w:r>
          </w:p>
        </w:tc>
      </w:tr>
      <w:tr>
        <w:tc>
          <w:tcPr>
            <w:tcW w:type="dxa" w:w="2268"/>
            <w:vAlign w:val="top"/>
          </w:tcPr>
          <w:p>
            <w:pPr>
              <w:spacing w:after="0" w:line="240" w:lineRule="auto"/>
            </w:pPr>
            <w:r>
              <w:rPr>
                <w:rFonts w:ascii="Times New Roman" w:hAnsi="Times New Roman"/>
                <w:sz w:val="16"/>
              </w:rPr>
              <w:t>Медицинская лаборатория</w:t>
            </w:r>
          </w:p>
        </w:tc>
        <w:tc>
          <w:tcPr>
            <w:tcW w:type="dxa" w:w="3685"/>
            <w:vAlign w:val="top"/>
          </w:tcPr>
          <w:p>
            <w:pPr>
              <w:spacing w:after="0" w:line="240" w:lineRule="auto"/>
            </w:pPr>
            <w:r>
              <w:rPr>
                <w:rFonts w:ascii="Times New Roman" w:hAnsi="Times New Roman"/>
                <w:sz w:val="16"/>
              </w:rPr>
              <w:t>направления, биоматериал, идентификационные и медицинские сведения, результаты</w:t>
            </w:r>
          </w:p>
        </w:tc>
        <w:tc>
          <w:tcPr>
            <w:tcW w:type="dxa" w:w="4535"/>
            <w:vAlign w:val="top"/>
          </w:tcPr>
          <w:p>
            <w:pPr>
              <w:spacing w:after="0" w:line="240" w:lineRule="auto"/>
            </w:pPr>
            <w:r>
              <w:rPr>
                <w:rFonts w:ascii="Times New Roman" w:hAnsi="Times New Roman"/>
                <w:sz w:val="16"/>
              </w:rPr>
              <w:t>договор; медицинское законодательство; защищенная передача</w:t>
            </w:r>
          </w:p>
        </w:tc>
      </w:tr>
      <w:tr>
        <w:tc>
          <w:tcPr>
            <w:tcW w:type="dxa" w:w="2268"/>
            <w:vAlign w:val="top"/>
          </w:tcPr>
          <w:p>
            <w:pPr>
              <w:spacing w:after="0" w:line="240" w:lineRule="auto"/>
            </w:pPr>
            <w:r>
              <w:rPr>
                <w:rFonts w:ascii="Times New Roman" w:hAnsi="Times New Roman"/>
                <w:sz w:val="16"/>
              </w:rPr>
              <w:t>Хостинг и техническая поддержка сайта</w:t>
            </w:r>
          </w:p>
        </w:tc>
        <w:tc>
          <w:tcPr>
            <w:tcW w:type="dxa" w:w="3685"/>
            <w:vAlign w:val="top"/>
          </w:tcPr>
          <w:p>
            <w:pPr>
              <w:spacing w:after="0" w:line="240" w:lineRule="auto"/>
            </w:pPr>
            <w:r>
              <w:rPr>
                <w:rFonts w:ascii="Times New Roman" w:hAnsi="Times New Roman"/>
                <w:sz w:val="16"/>
              </w:rPr>
              <w:t>технические данные, данные форм в объеме администрирования</w:t>
            </w:r>
          </w:p>
        </w:tc>
        <w:tc>
          <w:tcPr>
            <w:tcW w:type="dxa" w:w="4535"/>
            <w:vAlign w:val="top"/>
          </w:tcPr>
          <w:p>
            <w:pPr>
              <w:spacing w:after="0" w:line="240" w:lineRule="auto"/>
            </w:pPr>
            <w:r>
              <w:rPr>
                <w:rFonts w:ascii="Times New Roman" w:hAnsi="Times New Roman"/>
                <w:sz w:val="16"/>
              </w:rPr>
              <w:t>договор поручения; локализация; ограничение доступа</w:t>
            </w:r>
          </w:p>
        </w:tc>
      </w:tr>
      <w:tr>
        <w:tc>
          <w:tcPr>
            <w:tcW w:type="dxa" w:w="2268"/>
            <w:vAlign w:val="top"/>
          </w:tcPr>
          <w:p>
            <w:pPr>
              <w:spacing w:after="0" w:line="240" w:lineRule="auto"/>
            </w:pPr>
            <w:r>
              <w:rPr>
                <w:rFonts w:ascii="Times New Roman" w:hAnsi="Times New Roman"/>
                <w:sz w:val="16"/>
              </w:rPr>
              <w:t>Яндекс Метрика</w:t>
            </w:r>
          </w:p>
        </w:tc>
        <w:tc>
          <w:tcPr>
            <w:tcW w:type="dxa" w:w="3685"/>
            <w:vAlign w:val="top"/>
          </w:tcPr>
          <w:p>
            <w:pPr>
              <w:spacing w:after="0" w:line="240" w:lineRule="auto"/>
            </w:pPr>
            <w:r>
              <w:rPr>
                <w:rFonts w:ascii="Times New Roman" w:hAnsi="Times New Roman"/>
                <w:sz w:val="16"/>
              </w:rPr>
              <w:t>технические идентификаторы и сведения о посещениях</w:t>
            </w:r>
          </w:p>
        </w:tc>
        <w:tc>
          <w:tcPr>
            <w:tcW w:type="dxa" w:w="4535"/>
            <w:vAlign w:val="top"/>
          </w:tcPr>
          <w:p>
            <w:pPr>
              <w:spacing w:after="0" w:line="240" w:lineRule="auto"/>
            </w:pPr>
            <w:r>
              <w:rPr>
                <w:rFonts w:ascii="Times New Roman" w:hAnsi="Times New Roman"/>
                <w:sz w:val="16"/>
              </w:rPr>
              <w:t>применение после согласия для необязательной аналитики; настройка cookie</w:t>
            </w:r>
          </w:p>
        </w:tc>
      </w:tr>
      <w:tr>
        <w:tc>
          <w:tcPr>
            <w:tcW w:type="dxa" w:w="2268"/>
            <w:vAlign w:val="top"/>
          </w:tcPr>
          <w:p>
            <w:pPr>
              <w:spacing w:after="0" w:line="240" w:lineRule="auto"/>
            </w:pPr>
            <w:r>
              <w:rPr>
                <w:rFonts w:ascii="Times New Roman" w:hAnsi="Times New Roman"/>
                <w:sz w:val="16"/>
              </w:rPr>
              <w:t>Операторы связи и сообщений</w:t>
            </w:r>
          </w:p>
        </w:tc>
        <w:tc>
          <w:tcPr>
            <w:tcW w:type="dxa" w:w="3685"/>
            <w:vAlign w:val="top"/>
          </w:tcPr>
          <w:p>
            <w:pPr>
              <w:spacing w:after="0" w:line="240" w:lineRule="auto"/>
            </w:pPr>
            <w:r>
              <w:rPr>
                <w:rFonts w:ascii="Times New Roman" w:hAnsi="Times New Roman"/>
                <w:sz w:val="16"/>
              </w:rPr>
              <w:t>телефон/e-mail, текст служебного уведомления</w:t>
            </w:r>
          </w:p>
        </w:tc>
        <w:tc>
          <w:tcPr>
            <w:tcW w:type="dxa" w:w="4535"/>
            <w:vAlign w:val="top"/>
          </w:tcPr>
          <w:p>
            <w:pPr>
              <w:spacing w:after="0" w:line="240" w:lineRule="auto"/>
            </w:pPr>
            <w:r>
              <w:rPr>
                <w:rFonts w:ascii="Times New Roman" w:hAnsi="Times New Roman"/>
                <w:sz w:val="16"/>
              </w:rPr>
              <w:t>минимизация; договор; отсутствие диагноза и лишней медицинской информации</w:t>
            </w:r>
          </w:p>
        </w:tc>
      </w:tr>
      <w:tr>
        <w:tc>
          <w:tcPr>
            <w:tcW w:type="dxa" w:w="2268"/>
            <w:vAlign w:val="top"/>
          </w:tcPr>
          <w:p>
            <w:pPr>
              <w:spacing w:after="0" w:line="240" w:lineRule="auto"/>
            </w:pPr>
            <w:r>
              <w:rPr>
                <w:rFonts w:ascii="Times New Roman" w:hAnsi="Times New Roman"/>
                <w:sz w:val="16"/>
              </w:rPr>
              <w:t>Банк, ОФД, платежный сервис</w:t>
            </w:r>
          </w:p>
        </w:tc>
        <w:tc>
          <w:tcPr>
            <w:tcW w:type="dxa" w:w="3685"/>
            <w:vAlign w:val="top"/>
          </w:tcPr>
          <w:p>
            <w:pPr>
              <w:spacing w:after="0" w:line="240" w:lineRule="auto"/>
            </w:pPr>
            <w:r>
              <w:rPr>
                <w:rFonts w:ascii="Times New Roman" w:hAnsi="Times New Roman"/>
                <w:sz w:val="16"/>
              </w:rPr>
              <w:t>сведения, необходимые для платежа и чека</w:t>
            </w:r>
          </w:p>
        </w:tc>
        <w:tc>
          <w:tcPr>
            <w:tcW w:type="dxa" w:w="4535"/>
            <w:vAlign w:val="top"/>
          </w:tcPr>
          <w:p>
            <w:pPr>
              <w:spacing w:after="0" w:line="240" w:lineRule="auto"/>
            </w:pPr>
            <w:r>
              <w:rPr>
                <w:rFonts w:ascii="Times New Roman" w:hAnsi="Times New Roman"/>
                <w:sz w:val="16"/>
              </w:rPr>
              <w:t>договор и закон</w:t>
            </w:r>
          </w:p>
        </w:tc>
      </w:tr>
      <w:tr>
        <w:tc>
          <w:tcPr>
            <w:tcW w:type="dxa" w:w="2268"/>
            <w:vAlign w:val="top"/>
          </w:tcPr>
          <w:p>
            <w:pPr>
              <w:spacing w:after="0" w:line="240" w:lineRule="auto"/>
            </w:pPr>
            <w:r>
              <w:rPr>
                <w:rFonts w:ascii="Times New Roman" w:hAnsi="Times New Roman"/>
                <w:sz w:val="16"/>
              </w:rPr>
              <w:t>Государственные органы</w:t>
            </w:r>
          </w:p>
        </w:tc>
        <w:tc>
          <w:tcPr>
            <w:tcW w:type="dxa" w:w="3685"/>
            <w:vAlign w:val="top"/>
          </w:tcPr>
          <w:p>
            <w:pPr>
              <w:spacing w:after="0" w:line="240" w:lineRule="auto"/>
            </w:pPr>
            <w:r>
              <w:rPr>
                <w:rFonts w:ascii="Times New Roman" w:hAnsi="Times New Roman"/>
                <w:sz w:val="16"/>
              </w:rPr>
              <w:t>данные в объеме законного запроса</w:t>
            </w:r>
          </w:p>
        </w:tc>
        <w:tc>
          <w:tcPr>
            <w:tcW w:type="dxa" w:w="4535"/>
            <w:vAlign w:val="top"/>
          </w:tcPr>
          <w:p>
            <w:pPr>
              <w:spacing w:after="0" w:line="240" w:lineRule="auto"/>
            </w:pPr>
            <w:r>
              <w:rPr>
                <w:rFonts w:ascii="Times New Roman" w:hAnsi="Times New Roman"/>
                <w:sz w:val="16"/>
              </w:rPr>
              <w:t>прямое требование закона</w:t>
            </w:r>
          </w:p>
        </w:tc>
      </w:tr>
    </w:tbl>
    <w:p>
      <w:pPr>
        <w:widowControl/>
        <w:spacing w:after="20"/>
      </w:pPr>
    </w:p>
    <w:p>
      <w:pPr>
        <w:pStyle w:val="Heading1"/>
        <w:keepNext/>
        <w:widowControl/>
      </w:pPr>
      <w:r>
        <w:t>Приложение 3. Порядок уничтожения персональных данных</w:t>
      </w:r>
    </w:p>
    <w:p>
      <w:pPr>
        <w:widowControl/>
        <w:spacing w:after="60" w:line="252" w:lineRule="auto"/>
      </w:pPr>
      <w:r>
        <w:t>1. Основание: достижение цели, истечение срока хранения, отзыв согласия при отсутствии иных оснований, выявление неправомерной обработки, законное требование субъекта или Роскомнадзора.</w:t>
      </w:r>
    </w:p>
    <w:p>
      <w:pPr>
        <w:widowControl/>
        <w:spacing w:after="60" w:line="252" w:lineRule="auto"/>
      </w:pPr>
      <w:r>
        <w:t>2. Ответственное лицо определяет перечень данных, информационные системы и материальные носители, подлежащие уничтожению.</w:t>
      </w:r>
    </w:p>
    <w:p>
      <w:pPr>
        <w:widowControl/>
        <w:spacing w:after="60" w:line="252" w:lineRule="auto"/>
      </w:pPr>
      <w:r>
        <w:t>3. До уничтожения проверяется отсутствие обязательного срока хранения и судебного, налогового, медицинского или иного законного основания.</w:t>
      </w:r>
    </w:p>
    <w:p>
      <w:pPr>
        <w:widowControl/>
        <w:spacing w:after="60" w:line="252" w:lineRule="auto"/>
      </w:pPr>
      <w:r>
        <w:t>4. Электронные данные удаляются штатными средствами систем с учетом резервных копий. Бумажные документы уничтожаются способом, исключающим чтение и восстановление.</w:t>
      </w:r>
    </w:p>
    <w:p>
      <w:pPr>
        <w:widowControl/>
        <w:spacing w:after="60" w:line="252" w:lineRule="auto"/>
      </w:pPr>
      <w:r>
        <w:t>5. По результатам составляется акт. Для автоматизированной обработки дополнительно формируется выгрузка из журнала регистрации событий, когда это предусмотрено требованиями Роскомнадзора.</w:t>
      </w:r>
    </w:p>
    <w:p>
      <w:pPr>
        <w:widowControl/>
        <w:spacing w:after="60" w:line="252" w:lineRule="auto"/>
      </w:pPr>
      <w:r>
        <w:t>6. Документы, подтверждающие уничтожение, хранятся в установленный Оператором срок, соответствующий требованиям законодательства.</w:t>
      </w:r>
    </w:p>
    <w:p>
      <w:pPr>
        <w:widowControl/>
        <w:spacing w:after="60" w:line="252" w:lineRule="auto"/>
      </w:pPr>
      <w:r>
        <w:t>7. Если уничтожение в установленный срок невозможно, данные блокируются и уничтожаются не позднее срока, предусмотренного законом.</w:t>
      </w:r>
    </w:p>
    <w:p>
      <w:pPr>
        <w:widowControl/>
        <w:spacing w:before="240"/>
        <w:jc w:val="center"/>
      </w:pPr>
      <w:r>
        <w:rPr>
          <w:i/>
          <w:sz w:val="18"/>
        </w:rPr>
        <w:t>Конец документа</w:t>
      </w:r>
    </w:p>
    <w:sectPr w:rsidR="00FC693F" w:rsidRPr="0006063C" w:rsidSect="00034616">
      <w:headerReference w:type="default" r:id="rId9"/>
      <w:footerReference w:type="default" r:id="rId10"/>
      <w:pgSz w:w="12240" w:h="15840"/>
      <w:pgMar w:top="1020" w:right="964" w:bottom="96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sz w:val="16"/>
      </w:rPr>
      <w:t>ООО «ЯРДАН МЕД» | АкЯр Мед</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eastAsia="Times New Roman"/>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eastAsia="Times New Roman"/>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eastAsia="Times New Roman"/>
      <w:b/>
      <w:bCs/>
      <w:color w:val="4F81BD" w:themeColor="accent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eastAsia="Times New Roman"/>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
    <w:name w:val="Small"/>
    <w:rPr>
      <w:rFonts w:ascii="Times New Roman" w:hAnsi="Times New Roman"/>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Политика в отношении обработки персональных данных ООО «ЯРДАН МЕД»</dc:title>
  <dc:subject>Публичная политика для сайта akyarmed.ru</dc:subject>
  <dc:creator>ООО «ЯРДАН МЕД»</dc:creator>
  <cp:keywords>персональные данные, АкЯр Мед, ЯРДАН МЕД, Роскомнадзор</cp:keywords>
  <dc:description>generated by python-docx</dc:description>
  <cp:lastModifiedBy/>
  <cp:revision>1</cp:revision>
  <dcterms:created xsi:type="dcterms:W3CDTF">2013-12-23T23:15:00Z</dcterms:created>
  <dcterms:modified xsi:type="dcterms:W3CDTF">2013-12-23T23:15:00Z</dcterms:modified>
  <cp:category/>
</cp:coreProperties>
</file>