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0"/>
        <w:jc w:val="center"/>
      </w:pPr>
      <w:r>
        <w:rPr>
          <w:rFonts w:ascii="Arial" w:hAnsi="Arial"/>
          <w:b/>
          <w:sz w:val="30"/>
        </w:rPr>
        <w:t>СОГЛАСИЕ</w:t>
      </w:r>
    </w:p>
    <w:p>
      <w:pPr>
        <w:widowControl/>
        <w:spacing w:after="100"/>
        <w:jc w:val="center"/>
      </w:pPr>
      <w:r>
        <w:rPr>
          <w:rFonts w:ascii="Arial" w:hAnsi="Arial"/>
          <w:b/>
          <w:sz w:val="22"/>
        </w:rPr>
        <w:t>на обработку персональных данных</w:t>
        <w:br/>
        <w:t>(в том числе специальных категорий персональных данных)</w:t>
      </w:r>
    </w:p>
    <w:p>
      <w:pPr>
        <w:widowControl/>
        <w:spacing w:after="100"/>
        <w:jc w:val="center"/>
      </w:pPr>
      <w:r>
        <w:rPr>
          <w:i/>
          <w:sz w:val="16"/>
        </w:rPr>
        <w:t>Для подписания при первом посещении и размещения на сайте клиники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8"/>
        <w:gridCol w:w="6576"/>
      </w:tblGrid>
      <w:tr>
        <w:tc>
          <w:tcPr>
            <w:tcW w:type="dxa" w:w="345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4" w:color="B7C8C3"/>
              <w:left w:val="single" w:sz="4" w:color="B7C8C3"/>
              <w:bottom w:val="single" w:sz="4" w:color="B7C8C3"/>
              <w:right w:val="single" w:sz="4" w:color="B7C8C3"/>
            </w:tcBorders>
            <w:shd w:fill="EAF2F0"/>
          </w:tcPr>
          <w:p>
            <w:pPr>
              <w:spacing w:after="0"/>
            </w:pPr>
            <w:r>
              <w:rPr>
                <w:b/>
                <w:sz w:val="17"/>
              </w:rPr>
              <w:t>Ф.И.О. пациента</w:t>
            </w:r>
          </w:p>
        </w:tc>
        <w:tc>
          <w:tcPr>
            <w:tcW w:type="dxa" w:w="657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4" w:color="B7C8C3"/>
              <w:left w:val="single" w:sz="4" w:color="B7C8C3"/>
              <w:bottom w:val="single" w:sz="4" w:color="B7C8C3"/>
              <w:right w:val="single" w:sz="4" w:color="B7C8C3"/>
            </w:tcBorders>
          </w:tcPr>
          <w:p>
            <w:pPr>
              <w:spacing w:after="0"/>
            </w:pPr>
            <w:r>
              <w:rPr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345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4" w:color="B7C8C3"/>
              <w:left w:val="single" w:sz="4" w:color="B7C8C3"/>
              <w:bottom w:val="single" w:sz="4" w:color="B7C8C3"/>
              <w:right w:val="single" w:sz="4" w:color="B7C8C3"/>
            </w:tcBorders>
            <w:shd w:fill="EAF2F0"/>
          </w:tcPr>
          <w:p>
            <w:pPr>
              <w:spacing w:after="0"/>
            </w:pPr>
            <w:r>
              <w:rPr>
                <w:b/>
                <w:sz w:val="17"/>
              </w:rPr>
              <w:t>Дата рождения</w:t>
            </w:r>
          </w:p>
        </w:tc>
        <w:tc>
          <w:tcPr>
            <w:tcW w:type="dxa" w:w="657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4" w:color="B7C8C3"/>
              <w:left w:val="single" w:sz="4" w:color="B7C8C3"/>
              <w:bottom w:val="single" w:sz="4" w:color="B7C8C3"/>
              <w:right w:val="single" w:sz="4" w:color="B7C8C3"/>
            </w:tcBorders>
          </w:tcPr>
          <w:p>
            <w:pPr>
              <w:spacing w:after="0"/>
            </w:pPr>
            <w:r>
              <w:rPr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345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4" w:color="B7C8C3"/>
              <w:left w:val="single" w:sz="4" w:color="B7C8C3"/>
              <w:bottom w:val="single" w:sz="4" w:color="B7C8C3"/>
              <w:right w:val="single" w:sz="4" w:color="B7C8C3"/>
            </w:tcBorders>
            <w:shd w:fill="EAF2F0"/>
          </w:tcPr>
          <w:p>
            <w:pPr>
              <w:spacing w:after="0"/>
            </w:pPr>
            <w:r>
              <w:rPr>
                <w:b/>
                <w:sz w:val="17"/>
              </w:rPr>
              <w:t>Адрес регистрации / проживания</w:t>
            </w:r>
          </w:p>
        </w:tc>
        <w:tc>
          <w:tcPr>
            <w:tcW w:type="dxa" w:w="657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4" w:color="B7C8C3"/>
              <w:left w:val="single" w:sz="4" w:color="B7C8C3"/>
              <w:bottom w:val="single" w:sz="4" w:color="B7C8C3"/>
              <w:right w:val="single" w:sz="4" w:color="B7C8C3"/>
            </w:tcBorders>
          </w:tcPr>
          <w:p>
            <w:pPr>
              <w:spacing w:after="0"/>
            </w:pPr>
            <w:r>
              <w:rPr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345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4" w:color="B7C8C3"/>
              <w:left w:val="single" w:sz="4" w:color="B7C8C3"/>
              <w:bottom w:val="single" w:sz="4" w:color="B7C8C3"/>
              <w:right w:val="single" w:sz="4" w:color="B7C8C3"/>
            </w:tcBorders>
            <w:shd w:fill="EAF2F0"/>
          </w:tcPr>
          <w:p>
            <w:pPr>
              <w:spacing w:after="0"/>
            </w:pPr>
            <w:r>
              <w:rPr>
                <w:b/>
                <w:sz w:val="17"/>
              </w:rPr>
              <w:t>Документ, удостоверяющий личность</w:t>
            </w:r>
          </w:p>
        </w:tc>
        <w:tc>
          <w:tcPr>
            <w:tcW w:type="dxa" w:w="657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4" w:color="B7C8C3"/>
              <w:left w:val="single" w:sz="4" w:color="B7C8C3"/>
              <w:bottom w:val="single" w:sz="4" w:color="B7C8C3"/>
              <w:right w:val="single" w:sz="4" w:color="B7C8C3"/>
            </w:tcBorders>
          </w:tcPr>
          <w:p>
            <w:pPr>
              <w:spacing w:after="0"/>
            </w:pPr>
            <w:r>
              <w:rPr>
                <w:sz w:val="16"/>
              </w:rPr>
              <w:t>серия ______ № __________, выдан ______________________________</w:t>
            </w:r>
          </w:p>
        </w:tc>
      </w:tr>
      <w:tr>
        <w:tc>
          <w:tcPr>
            <w:tcW w:type="dxa" w:w="345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4" w:color="B7C8C3"/>
              <w:left w:val="single" w:sz="4" w:color="B7C8C3"/>
              <w:bottom w:val="single" w:sz="4" w:color="B7C8C3"/>
              <w:right w:val="single" w:sz="4" w:color="B7C8C3"/>
            </w:tcBorders>
            <w:shd w:fill="EAF2F0"/>
          </w:tcPr>
          <w:p>
            <w:pPr>
              <w:spacing w:after="0"/>
            </w:pPr>
            <w:r>
              <w:rPr>
                <w:b/>
                <w:sz w:val="17"/>
              </w:rPr>
              <w:t>Телефон / e-mail</w:t>
            </w:r>
          </w:p>
        </w:tc>
        <w:tc>
          <w:tcPr>
            <w:tcW w:type="dxa" w:w="657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4" w:color="B7C8C3"/>
              <w:left w:val="single" w:sz="4" w:color="B7C8C3"/>
              <w:bottom w:val="single" w:sz="4" w:color="B7C8C3"/>
              <w:right w:val="single" w:sz="4" w:color="B7C8C3"/>
            </w:tcBorders>
          </w:tcPr>
          <w:p>
            <w:pPr>
              <w:spacing w:after="0"/>
            </w:pPr>
            <w:r>
              <w:rPr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345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4" w:color="B7C8C3"/>
              <w:left w:val="single" w:sz="4" w:color="B7C8C3"/>
              <w:bottom w:val="single" w:sz="4" w:color="B7C8C3"/>
              <w:right w:val="single" w:sz="4" w:color="B7C8C3"/>
            </w:tcBorders>
            <w:shd w:fill="EAF2F0"/>
          </w:tcPr>
          <w:p>
            <w:pPr>
              <w:spacing w:after="0"/>
            </w:pPr>
            <w:r>
              <w:rPr>
                <w:b/>
                <w:sz w:val="17"/>
              </w:rPr>
              <w:t>Законный представитель (если применимо)</w:t>
            </w:r>
          </w:p>
        </w:tc>
        <w:tc>
          <w:tcPr>
            <w:tcW w:type="dxa" w:w="657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4" w:color="B7C8C3"/>
              <w:left w:val="single" w:sz="4" w:color="B7C8C3"/>
              <w:bottom w:val="single" w:sz="4" w:color="B7C8C3"/>
              <w:right w:val="single" w:sz="4" w:color="B7C8C3"/>
            </w:tcBorders>
          </w:tcPr>
          <w:p>
            <w:pPr>
              <w:spacing w:after="0"/>
            </w:pPr>
            <w:r>
              <w:rPr>
                <w:sz w:val="16"/>
              </w:rPr>
              <w:t>Ф.И.О., документ и основание полномочий</w:t>
            </w:r>
          </w:p>
        </w:tc>
      </w:tr>
    </w:tbl>
    <w:p>
      <w:pPr>
        <w:widowControl/>
        <w:ind w:firstLine="312"/>
      </w:pPr>
      <w:r>
        <w:t>Я, указанный(ая) выше пациент либо его законный представитель, свободно, своей волей и в своем интересе, в соответствии с Федеральным законом от 27.07.2006 № 152-ФЗ «О персональных данных», даю ООО «ЯРДАН МЕД» (ОГРН 1261600009571, ИНН 1686056863, адрес: 420104, Республика Татарстан, г. Казань, пр-д Яраткан, д. 5, помещ. 1003; далее - Оператор) согласие на обработку моих персональных данных и/или персональных данных представляемого мною лица на условиях настоящего документа.</w:t>
      </w:r>
    </w:p>
    <w:p>
      <w:pPr>
        <w:pStyle w:val="HeadingCustom"/>
        <w:keepNext/>
        <w:widowControl/>
      </w:pPr>
      <w:r>
        <w:t>1. Персональные данные и цели обработки</w:t>
      </w:r>
    </w:p>
    <w:p>
      <w:pPr>
        <w:widowControl/>
        <w:ind w:firstLine="312"/>
      </w:pPr>
      <w:r>
        <w:t>Согласие предоставляется на обработку фамилии, имени, отчества, пола, даты и места рождения, гражданства; данных документа, удостоверяющего личность; адреса; телефона и электронной почты; СНИЛС (при наличии и необходимости); сведений о законном представителе; сведений о состоянии здоровья, обращениях за медицинской помощью, диагнозах, назначениях, лечении, принимаемых препаратах, аллергических реакциях, результатах осмотров, лабораторных и иных исследований, медицинских заключениях и иных сведений, составляющих врачебную тайну.</w:t>
      </w:r>
    </w:p>
    <w:p>
      <w:pPr>
        <w:widowControl/>
        <w:ind w:firstLine="312"/>
      </w:pPr>
      <w:r>
        <w:t>Персональные данные обрабатываются для записи и идентификации пациента; заключения и исполнения договора на оказание платных медицинских услуг; оказания медицинской помощи; установления диагноза; ведения и хранения медицинской документации; назначения, выполнения и получения результатов исследований; расчетов и бухгалтерского учета; рассмотрения обращений; направления сервисных уведомлений, связанных с записью, приемом, готовностью результатов и оказанием услуг; исполнения обязанностей, установленных законодательством Российской Федерации.</w:t>
      </w:r>
    </w:p>
    <w:p>
      <w:pPr>
        <w:pStyle w:val="HeadingCustom"/>
        <w:keepNext/>
        <w:widowControl/>
      </w:pPr>
      <w:r>
        <w:t>2. Способы обработки и используемые информационные системы</w:t>
      </w:r>
    </w:p>
    <w:p>
      <w:pPr>
        <w:widowControl/>
        <w:ind w:firstLine="312"/>
      </w:pPr>
      <w:r>
        <w:t>Оператор вправе осуществлять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 и уничтожение персональных данных с использованием средств автоматизации и без их использования.</w:t>
      </w:r>
    </w:p>
    <w:p>
      <w:pPr>
        <w:widowControl/>
        <w:ind w:firstLine="312"/>
      </w:pPr>
      <w:r>
        <w:t>Для ведения медицинской документации, учета услуг, хранения медицинских записей и организации лечебного процесса Оператор использует МИС «МедЛок». Техническое сопровождение системы может осуществляться лицом, обеспечивающим ее функционирование, на основании договора и поручения Оператора с соблюдением конфиденциальности и установленных требований к защите персональных данных.</w:t>
      </w:r>
    </w:p>
    <w:p>
      <w:pPr>
        <w:pStyle w:val="HeadingCustom"/>
        <w:keepNext/>
        <w:widowControl/>
      </w:pPr>
      <w:r>
        <w:t>3. Передача данных для оказания медицинских услуг</w:t>
      </w:r>
    </w:p>
    <w:p>
      <w:pPr>
        <w:widowControl/>
        <w:ind w:firstLine="312"/>
      </w:pPr>
      <w:r>
        <w:t>В объеме, необходимом для достижения указанных целей, Оператор вправе передавать персональные данные и сведения о здоровье:</w:t>
      </w:r>
    </w:p>
    <w:p>
      <w:pPr>
        <w:widowControl/>
        <w:ind w:left="312" w:hanging="198"/>
      </w:pPr>
      <w:r>
        <w:t>• организации, осуществляющей лабораторную диагностику на основании договора с Оператором, - для оформления направления, идентификации биоматериала, проведения исследований, получения, передачи и хранения результатов;</w:t>
      </w:r>
    </w:p>
    <w:p>
      <w:pPr>
        <w:widowControl/>
        <w:ind w:left="312" w:hanging="198"/>
      </w:pPr>
      <w:r>
        <w:t>• иным медицинским организациям и специалистам - при направлении пациента или необходимости получения медицинской консультации, если это требуется для оказания медицинской помощи;</w:t>
      </w:r>
    </w:p>
    <w:p>
      <w:pPr>
        <w:widowControl/>
        <w:ind w:left="312" w:hanging="198"/>
      </w:pPr>
      <w:r>
        <w:t>• государственным органам, судам и иным уполномоченным лицам - только в случаях и объеме, предусмотренных законодательством Российской Федерации.</w:t>
      </w:r>
    </w:p>
    <w:p>
      <w:pPr>
        <w:widowControl/>
        <w:ind w:firstLine="312"/>
      </w:pPr>
      <w:r>
        <w:t>Передача осуществляется с соблюдением врачебной тайны, конфиденциальности и мер защиты персональных данных. Настоящее согласие не является согласием на распространение персональных данных неопределенному кругу лиц.</w:t>
      </w:r>
    </w:p>
    <w:p>
      <w:pPr>
        <w:pStyle w:val="HeadingCustom"/>
        <w:keepNext/>
        <w:widowControl/>
      </w:pPr>
      <w:r>
        <w:t>4. Личный кабинет пациента «МедТочка»</w:t>
      </w:r>
    </w:p>
    <w:p>
      <w:pPr>
        <w:widowControl/>
        <w:ind w:firstLine="312"/>
      </w:pPr>
      <w:r>
        <w:t>Создание личного кабинета в системе «МедТочка» является дополнительной возможностью и осуществляется только по выбору пациента. При наличии отметки ниже Оператор вправе передать в систему «МедТочка» данные, необходимые для регистрации личного кабинета, идентификации пациента, предоставления доступа к медицинским заключениям, результатам исследований и другим функциям сервиса.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tcMar>
              <w:top w:w="110" w:type="dxa"/>
              <w:start w:w="140" w:type="dxa"/>
              <w:bottom w:w="110" w:type="dxa"/>
              <w:end w:w="140" w:type="dxa"/>
            </w:tcMar>
            <w:shd w:fill="F5F8F7"/>
            <w:tcBorders>
              <w:top w:val="single" w:sz="6" w:color="89A79E"/>
              <w:left w:val="single" w:sz="6" w:color="89A79E"/>
              <w:bottom w:val="single" w:sz="6" w:color="89A79E"/>
              <w:right w:val="single" w:sz="6" w:color="89A79E"/>
            </w:tcBorders>
          </w:tcPr>
          <w:p>
            <w:pPr>
              <w:spacing w:after="40"/>
            </w:pPr>
            <w:r>
              <w:rPr>
                <w:b/>
                <w:sz w:val="18"/>
              </w:rPr>
              <w:t>☐  СОГЛАСЕН(НА) на регистрацию и передачу необходимых данных в «МедТочку».</w:t>
            </w:r>
          </w:p>
          <w:p>
            <w:pPr>
              <w:spacing w:after="0"/>
            </w:pPr>
            <w:r>
              <w:rPr>
                <w:sz w:val="17"/>
              </w:rPr>
              <w:t>☐  НЕ СОГЛАСЕН(НА). Отказ не влияет на возможность получения медицинских услуг в клинике.</w:t>
            </w:r>
          </w:p>
        </w:tc>
      </w:tr>
    </w:tbl>
    <w:p>
      <w:pPr>
        <w:pStyle w:val="HeadingCustom"/>
        <w:keepNext/>
        <w:widowControl/>
      </w:pPr>
      <w:r>
        <w:t>5. Сервисные сообщения</w:t>
      </w:r>
    </w:p>
    <w:p>
      <w:pPr>
        <w:widowControl/>
        <w:ind w:firstLine="312"/>
      </w:pPr>
      <w:r>
        <w:t>Оператор вправе использовать указанные пациентом контактные данные для телефонных звонков и направления сервисных сообщений посредством SMS, электронной почты и мессенджеров о записи, переносе или отмене приема, готовности результатов, порядке подготовки к исследованию и иных обстоятельствах, непосредственно связанных с оказанием услуг. Рекламные и маркетинговые сообщения настоящим согласием не охватываются и направляются только при наличии отдельного согласия пациента.</w:t>
      </w:r>
    </w:p>
    <w:p>
      <w:pPr>
        <w:pStyle w:val="HeadingCustom"/>
        <w:keepNext/>
        <w:widowControl/>
      </w:pPr>
      <w:r>
        <w:t>6. Срок действия и отзыв согласия</w:t>
      </w:r>
    </w:p>
    <w:p>
      <w:pPr>
        <w:widowControl/>
        <w:ind w:firstLine="312"/>
      </w:pPr>
      <w:r>
        <w:t>Согласие действует со дня его предоставления в течение срока оказания услуг и установленных законодательством сроков хранения медицинской, бухгалтерской и иной обязательной документации. Согласие может быть отозвано путем направления подписанного заявления по адресу Оператора либо на e-mail akyar.med@mail.ru с темой «Отзыв согласия на обработку персональных данных».</w:t>
      </w:r>
    </w:p>
    <w:p>
      <w:pPr>
        <w:widowControl/>
        <w:ind w:firstLine="312"/>
      </w:pPr>
      <w:r>
        <w:t>После отзыва Оператор прекращает обработку, основанную исключительно на согласии, если отсутствуют иные законные основания. Отзыв не прекращает обработку и хранение данных, необходимых для исполнения обязанностей Оператора, защиты прав и законных интересов, ведения и хранения медицинской документации либо в иных случаях, предусмотренных законом.</w:t>
      </w:r>
    </w:p>
    <w:p>
      <w:pPr>
        <w:pStyle w:val="HeadingCustom"/>
        <w:keepNext/>
        <w:widowControl/>
      </w:pPr>
      <w:r>
        <w:t>7. Подтверждения пациента и форма предоставления согласия</w:t>
      </w:r>
    </w:p>
    <w:p>
      <w:pPr>
        <w:widowControl/>
        <w:ind w:firstLine="312"/>
      </w:pPr>
      <w:r>
        <w:t>Пациент подтверждает достоверность предоставленных сведений, обязуется сообщать об их изменении, ознакомлен с Политикой обработки персональных данных ООО «ЯРДАН МЕД», размещенной на сайте https://akyarmed.ru, и понимает содержание настоящего согласия.</w:t>
      </w:r>
    </w:p>
    <w:p>
      <w:pPr>
        <w:widowControl/>
        <w:ind w:firstLine="312"/>
      </w:pPr>
      <w:r>
        <w:t>При подписании в клинике согласие подтверждается собственноручной подписью. При предоставлении на сайте согласие оформляется отдельно от иных документов путем установки соответствующего флажка (чекбокса) и совершения действия, указанного в электронной форме; Оператор фиксирует дату, время, содержание принятой редакции и технические сведения, позволяющие подтвердить факт предоставления согласия. Поля, необходимые исключительно для бумажной формы, в электронной форме могут не заполняться, если пациент идентифицирован иным предусмотренным формой способом.</w:t>
      </w:r>
    </w:p>
    <w:p>
      <w:pPr>
        <w:widowControl/>
        <w:spacing w:before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1814"/>
            <w:tcMar>
              <w:top w:w="60" w:type="dxa"/>
              <w:start w:w="60" w:type="dxa"/>
              <w:bottom w:w="60" w:type="dxa"/>
              <w:end w:w="60" w:type="dxa"/>
            </w:tcMar>
            <w:tcBorders>
              <w:bottom w:val="single" w:sz="3" w:color="D5DEDB"/>
            </w:tcBorders>
          </w:tcPr>
          <w:p>
            <w:r>
              <w:rPr>
                <w:b/>
                <w:sz w:val="16"/>
              </w:rPr>
              <w:t>Дата</w:t>
            </w:r>
          </w:p>
        </w:tc>
        <w:tc>
          <w:tcPr>
            <w:tcW w:type="dxa" w:w="2721"/>
            <w:tcMar>
              <w:top w:w="60" w:type="dxa"/>
              <w:start w:w="60" w:type="dxa"/>
              <w:bottom w:w="60" w:type="dxa"/>
              <w:end w:w="60" w:type="dxa"/>
            </w:tcMar>
            <w:tcBorders>
              <w:bottom w:val="single" w:sz="3" w:color="D5DEDB"/>
            </w:tcBorders>
          </w:tcPr>
          <w:p>
            <w:r>
              <w:rPr>
                <w:b w:val="0"/>
                <w:sz w:val="16"/>
              </w:rPr>
              <w:t>«____» __________ 20___ г.</w:t>
            </w:r>
          </w:p>
        </w:tc>
        <w:tc>
          <w:tcPr>
            <w:tcW w:type="dxa" w:w="1814"/>
            <w:tcMar>
              <w:top w:w="60" w:type="dxa"/>
              <w:start w:w="60" w:type="dxa"/>
              <w:bottom w:w="60" w:type="dxa"/>
              <w:end w:w="60" w:type="dxa"/>
            </w:tcMar>
            <w:tcBorders>
              <w:bottom w:val="single" w:sz="3" w:color="D5DEDB"/>
            </w:tcBorders>
          </w:tcPr>
          <w:p>
            <w:r>
              <w:rPr>
                <w:b/>
                <w:sz w:val="16"/>
              </w:rPr>
              <w:t>Подпись</w:t>
            </w:r>
          </w:p>
        </w:tc>
        <w:tc>
          <w:tcPr>
            <w:tcW w:type="dxa" w:w="3175"/>
            <w:tcMar>
              <w:top w:w="60" w:type="dxa"/>
              <w:start w:w="60" w:type="dxa"/>
              <w:bottom w:w="60" w:type="dxa"/>
              <w:end w:w="60" w:type="dxa"/>
            </w:tcMar>
            <w:tcBorders>
              <w:bottom w:val="single" w:sz="3" w:color="D5DEDB"/>
            </w:tcBorders>
          </w:tcPr>
          <w:p>
            <w:r>
              <w:rPr>
                <w:b w:val="0"/>
                <w:sz w:val="16"/>
              </w:rPr>
              <w:t>____________________</w:t>
            </w:r>
          </w:p>
        </w:tc>
      </w:tr>
      <w:tr>
        <w:tc>
          <w:tcPr>
            <w:tcW w:type="dxa" w:w="1814"/>
            <w:tcMar>
              <w:top w:w="60" w:type="dxa"/>
              <w:start w:w="60" w:type="dxa"/>
              <w:bottom w:w="60" w:type="dxa"/>
              <w:end w:w="60" w:type="dxa"/>
            </w:tcMar>
            <w:tcBorders>
              <w:bottom w:val="single" w:sz="3" w:color="D5DEDB"/>
            </w:tcBorders>
          </w:tcPr>
          <w:p>
            <w:r>
              <w:rPr>
                <w:b/>
                <w:sz w:val="16"/>
              </w:rPr>
              <w:t>Ф.И.О.</w:t>
            </w:r>
          </w:p>
        </w:tc>
        <w:tc>
          <w:tcPr>
            <w:tcW w:type="dxa" w:w="7710"/>
            <w:tcMar>
              <w:top w:w="60" w:type="dxa"/>
              <w:start w:w="60" w:type="dxa"/>
              <w:bottom w:w="60" w:type="dxa"/>
              <w:end w:w="60" w:type="dxa"/>
            </w:tcMar>
            <w:gridSpan w:val="3"/>
            <w:tcBorders>
              <w:bottom w:val="single" w:sz="3" w:color="D5DEDB"/>
            </w:tcBorders>
          </w:tcPr>
          <w:p>
            <w:r>
              <w:rPr>
                <w:b w:val="0"/>
                <w:sz w:val="16"/>
              </w:rPr>
              <w:t>________________________________________</w:t>
            </w:r>
          </w:p>
          <w:p>
            <w:r>
              <w:rPr>
                <w:b w:val="0"/>
                <w:sz w:val="16"/>
              </w:rPr>
            </w:r>
          </w:p>
          <w:p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814"/>
            <w:tcMar>
              <w:top w:w="60" w:type="dxa"/>
              <w:start w:w="60" w:type="dxa"/>
              <w:bottom w:w="60" w:type="dxa"/>
              <w:end w:w="60" w:type="dxa"/>
            </w:tcMar>
            <w:tcBorders>
              <w:bottom w:val="single" w:sz="3" w:color="D5DEDB"/>
            </w:tcBorders>
          </w:tcPr>
          <w:p>
            <w:r>
              <w:rPr>
                <w:b/>
                <w:sz w:val="16"/>
              </w:rPr>
              <w:t>Представитель</w:t>
            </w:r>
          </w:p>
        </w:tc>
        <w:tc>
          <w:tcPr>
            <w:tcW w:type="dxa" w:w="2721"/>
            <w:tcMar>
              <w:top w:w="60" w:type="dxa"/>
              <w:start w:w="60" w:type="dxa"/>
              <w:bottom w:w="60" w:type="dxa"/>
              <w:end w:w="60" w:type="dxa"/>
            </w:tcMar>
            <w:tcBorders>
              <w:bottom w:val="single" w:sz="3" w:color="D5DEDB"/>
            </w:tcBorders>
          </w:tcPr>
          <w:p>
            <w:r>
              <w:rPr>
                <w:b w:val="0"/>
                <w:sz w:val="16"/>
              </w:rPr>
              <w:t>________________________________________</w:t>
            </w:r>
          </w:p>
        </w:tc>
        <w:tc>
          <w:tcPr>
            <w:tcW w:type="dxa" w:w="1814"/>
            <w:tcMar>
              <w:top w:w="60" w:type="dxa"/>
              <w:start w:w="60" w:type="dxa"/>
              <w:bottom w:w="60" w:type="dxa"/>
              <w:end w:w="60" w:type="dxa"/>
            </w:tcMar>
            <w:tcBorders>
              <w:bottom w:val="single" w:sz="3" w:color="D5DEDB"/>
            </w:tcBorders>
          </w:tcPr>
          <w:p>
            <w:r>
              <w:rPr>
                <w:b/>
                <w:sz w:val="16"/>
              </w:rPr>
              <w:t>Основание</w:t>
            </w:r>
          </w:p>
        </w:tc>
        <w:tc>
          <w:tcPr>
            <w:tcW w:type="dxa" w:w="3175"/>
            <w:tcMar>
              <w:top w:w="60" w:type="dxa"/>
              <w:start w:w="60" w:type="dxa"/>
              <w:bottom w:w="60" w:type="dxa"/>
              <w:end w:w="60" w:type="dxa"/>
            </w:tcMar>
            <w:tcBorders>
              <w:bottom w:val="single" w:sz="3" w:color="D5DEDB"/>
            </w:tcBorders>
          </w:tcPr>
          <w:p>
            <w:r>
              <w:rPr>
                <w:b w:val="0"/>
                <w:sz w:val="16"/>
              </w:rPr>
              <w:t>____________________</w:t>
            </w:r>
          </w:p>
        </w:tc>
      </w:tr>
    </w:tbl>
    <w:p>
      <w:pPr>
        <w:widowControl/>
        <w:spacing w:before="100" w:after="0"/>
        <w:jc w:val="center"/>
      </w:pPr>
      <w:r>
        <w:rPr>
          <w:b/>
          <w:sz w:val="15"/>
        </w:rPr>
        <w:t>Оператор: ООО «ЯРДАН МЕД» • ИНН 1686056863 • КПП 168601001 • ОГРН 1261600009571</w:t>
      </w:r>
    </w:p>
    <w:p>
      <w:pPr>
        <w:widowControl/>
        <w:spacing w:after="0"/>
        <w:jc w:val="center"/>
      </w:pPr>
      <w:r>
        <w:rPr>
          <w:sz w:val="14"/>
        </w:rPr>
        <w:t>420104, Республика Татарстан, г. Казань, пр-д Яраткан, д. 5, помещ. 1003 • Лицензия № Л041-01181-16/05293998 от 11.06.2026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50" w:right="935" w:bottom="822" w:left="935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5"/>
      </w:rPr>
      <w:t>akyarmed.ru  •  +7 (987) 003-00-70  •  akyar.med@mail.ru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sz w:val="16"/>
      </w:rPr>
      <w:t>АКЯР МЕД  |  ООО «ЯРДАН МЕД»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5" w:lineRule="auto"/>
    </w:pPr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 Custom"/>
    <w:pPr>
      <w:spacing w:before="80" w:after="40"/>
    </w:pPr>
    <w:rPr>
      <w:rFonts w:ascii="Arial" w:hAnsi="Arial" w:eastAsia="Arial"/>
      <w:b/>
      <w:sz w:val="28"/>
    </w:rPr>
  </w:style>
  <w:style w:type="paragraph" w:customStyle="1" w:styleId="HeadingCustom">
    <w:name w:val="Heading Custom"/>
    <w:pPr>
      <w:spacing w:before="80" w:after="40"/>
    </w:pPr>
    <w:rPr>
      <w:rFonts w:ascii="Arial" w:hAnsi="Arial" w:eastAsia="Arial"/>
      <w:b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 - АкЯр Мед</dc:title>
  <dc:subject>Универсальное согласие для сайта и подписания при первом посещении</dc:subject>
  <dc:creator>ООО «ЯРДАН МЕД»</dc:creator>
  <cp:keywords>персональные данные, пациент, МедЛок, МедТочка, лаборатория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